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ng" ContentType="image/png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a227ba48754421" /><Relationship Type="http://schemas.openxmlformats.org/package/2006/relationships/metadata/core-properties" Target="/package/services/metadata/core-properties/2aaee22a02cc4c8b85c1d025be792925.psmdcp" Id="R67814a166f4c4f27" /></Relationships>
</file>

<file path=word/document.xml><?xml version="1.0" encoding="utf-8"?>
<w:document xmlns:w="http://schemas.openxmlformats.org/wordprocessingml/2006/main">
  <w:body>
    <w:tbl>
      <w:tblPr>
        <w:tblW w:w="5000" w:type="pct"/>
        <w:tblBorders>
          <w:top w:val="nil"/>
          <w:bottom w:val="single" w:color="D9480F" w:sz="36"/>
          <w:left w:val="nil"/>
          <w:right w:val="nil"/>
        </w:tblBorders>
        <w:tblCellMar>
          <w:top w:w="400" w:type="dxa"/>
          <w:left w:w="400" w:type="dxa"/>
          <w:bottom w:w="400" w:type="dxa"/>
          <w:right w:w="400" w:type="dxa"/>
        </w:tblCellMar>
      </w:tblPr>
      <w:tr>
        <w:trPr>
          <w:trHeight w:val="6200" w:hRule="atLeast"/>
        </w:trPr>
        <w:tc>
          <w:tcPr>
            <w:shd w:val="clear" w:color="auto" w:fill="0B3D91"/>
          </w:tcPr>
          <w:p>
            <w:pPr>
              <w:spacing w:before="0" w:after="1600"/>
            </w:pPr>
            <w:r>
              <w:rPr>
                <w:b/>
                <w:color w:val="FFFFFF"/>
                <w:sz w:val="32"/>
              </w:rPr>
              <w:t xml:space="preserve">Plateforme READ</w:t>
            </w:r>
          </w:p>
          <w:p>
            <w:pPr>
              <w:spacing w:before="0" w:after="240"/>
            </w:pPr>
            <w:r>
              <w:rPr>
                <w:b/>
                <w:color w:val="FFFFFF"/>
                <w:sz w:val="64"/>
              </w:rPr>
              <w:t xml:space="preserve">Guide d'exploitation</w:t>
            </w:r>
          </w:p>
          <w:p>
            <w:pPr>
              <w:spacing w:before="0" w:after="120"/>
            </w:pPr>
            <w:r>
              <w:rPr>
                <w:color w:val="D6E2F7"/>
                <w:sz w:val="26"/>
              </w:rPr>
              <w:t xml:space="preserve">Installer, configurer, déployer, sauvegarder, sécuriser et surveiller la plateforme sur un serveur.</w:t>
            </w:r>
          </w:p>
        </w:tc>
      </w:tr>
    </w:tbl>
    <w:p>
      <w:pPr>
        <w:spacing w:before="0" w:after="600"/>
      </w:pPr>
    </w:p>
    <w:p>
      <w:pPr>
        <w:spacing w:before="0" w:after="0"/>
      </w:pPr>
      <w:r>
        <w:rPr>
          <w:b/>
          <w:color w:val="556072"/>
          <w:sz w:val="18"/>
        </w:rPr>
        <w:t xml:space="preserve">Public</w:t>
      </w:r>
    </w:p>
    <w:p>
      <w:pPr>
        <w:spacing w:before="0" w:after="260"/>
      </w:pPr>
      <w:r>
        <w:rPr>
          <w:sz w:val="22"/>
        </w:rPr>
        <w:t xml:space="preserve">Équipe technique (ICT) et hébergeur</w:t>
      </w:r>
    </w:p>
    <w:p>
      <w:pPr>
        <w:spacing w:before="0" w:after="0"/>
      </w:pPr>
      <w:r>
        <w:rPr>
          <w:b/>
          <w:color w:val="556072"/>
          <w:sz w:val="18"/>
        </w:rPr>
        <w:t xml:space="preserve">Édition</w:t>
      </w:r>
    </w:p>
    <w:p>
      <w:pPr>
        <w:spacing w:before="0" w:after="260"/>
      </w:pPr>
      <w:r>
        <w:rPr>
          <w:sz w:val="22"/>
        </w:rPr>
        <w:t xml:space="preserve">Édition 1.0 — octobre 2026</w:t>
      </w:r>
    </w:p>
    <w:p>
      <w:pPr>
        <w:spacing w:before="0" w:after="0"/>
      </w:pPr>
      <w:r>
        <w:rPr>
          <w:b/>
          <w:color w:val="556072"/>
          <w:sz w:val="18"/>
        </w:rPr>
        <w:t xml:space="preserve">Contenu</w:t>
      </w:r>
    </w:p>
    <w:p>
      <w:pPr>
        <w:spacing w:before="0" w:after="260"/>
      </w:pPr>
      <w:r>
        <w:rPr>
          <w:sz w:val="22"/>
        </w:rPr>
        <w:t xml:space="preserve">11 chapitres, 2 figures</w:t>
      </w:r>
    </w:p>
    <w:p>
      <w:pPr>
        <w:spacing w:before="1600" w:after="120"/>
      </w:pPr>
      <w:r>
        <w:rPr>
          <w:color w:val="556072"/>
          <w:sz w:val="17"/>
        </w:rPr>
        <w:t xml:space="preserve">Les captures d'écran montrent des données de démonstration entièrement fictives.</w:t>
      </w:r>
    </w:p>
    <w:p>
      <w:pPr>
        <w:sectPr>
          <w:type w:val="nextPage"/>
          <w:pgSz w:w="11906" w:h="16838"/>
          <w:pgMar w:top="1134" w:right="1134" w:bottom="1134" w:left="1134" w:header="567" w:footer="567" w:gutter="0"/>
        </w:sectPr>
      </w:pPr>
    </w:p>
    <w:p>
      <w:pPr>
        <w:pStyle w:val="TOCHeading"/>
      </w:pPr>
      <w:r>
        <w:t xml:space="preserve">Sommaire</w:t>
      </w:r>
    </w:p>
    <w:p>
      <w:pPr>
        <w:pStyle w:val="TOC1"/>
      </w:pPr>
      <w:r>
        <w:fldChar w:fldCharType="begin"/>
      </w:r>
      <w:r>
        <w:instrText xml:space="preserve"> TOC \o "1-2" \h \z \u </w:instrText>
      </w:r>
      <w:r>
        <w:fldChar w:fldCharType="separate"/>
      </w:r>
      <w:hyperlink w:history="true" w:anchor="_s1">
        <w:r>
          <w:t xml:space="preserve">À propos de ce guide</w:t>
        </w:r>
      </w:hyperlink>
    </w:p>
    <w:p>
      <w:pPr>
        <w:pStyle w:val="TOC2"/>
      </w:pPr>
      <w:hyperlink w:history="true" w:anchor="_s2">
        <w:r>
          <w:t xml:space="preserve">  Ce que vous devez savoir avant de commencer</w:t>
        </w:r>
      </w:hyperlink>
    </w:p>
    <w:p>
      <w:pPr>
        <w:pStyle w:val="TOC2"/>
      </w:pPr>
      <w:hyperlink w:history="true" w:anchor="_s3">
        <w:r>
          <w:t xml:space="preserve">  Organisation du guide</w:t>
        </w:r>
      </w:hyperlink>
    </w:p>
    <w:p>
      <w:pPr>
        <w:pStyle w:val="TOC2"/>
      </w:pPr>
      <w:hyperlink w:history="true" w:anchor="_s4">
        <w:r>
          <w:t xml:space="preserve">  Conventions</w:t>
        </w:r>
      </w:hyperlink>
    </w:p>
    <w:p>
      <w:pPr>
        <w:pStyle w:val="TOC1"/>
      </w:pPr>
      <w:hyperlink w:history="true" w:anchor="_s5">
        <w:r>
          <w:t xml:space="preserve">Chapitre 1 — Architecture</w:t>
        </w:r>
      </w:hyperlink>
    </w:p>
    <w:p>
      <w:pPr>
        <w:pStyle w:val="TOC2"/>
      </w:pPr>
      <w:hyperlink w:history="true" w:anchor="_s6">
        <w:r>
          <w:t xml:space="preserve">1.1  Composants logiciels</w:t>
        </w:r>
      </w:hyperlink>
    </w:p>
    <w:p>
      <w:pPr>
        <w:pStyle w:val="TOC2"/>
      </w:pPr>
      <w:hyperlink w:history="true" w:anchor="_s7">
        <w:r>
          <w:t xml:space="preserve">1.2  Conteneurs</w:t>
        </w:r>
      </w:hyperlink>
    </w:p>
    <w:p>
      <w:pPr>
        <w:pStyle w:val="TOC2"/>
      </w:pPr>
      <w:hyperlink w:history="true" w:anchor="_s8">
        <w:r>
          <w:t xml:space="preserve">1.3  Volumes de données</w:t>
        </w:r>
      </w:hyperlink>
    </w:p>
    <w:p>
      <w:pPr>
        <w:pStyle w:val="TOC2"/>
      </w:pPr>
      <w:hyperlink w:history="true" w:anchor="_s9">
        <w:r>
          <w:t xml:space="preserve">1.4  Flux réseau</w:t>
        </w:r>
      </w:hyperlink>
    </w:p>
    <w:p>
      <w:pPr>
        <w:pStyle w:val="TOC2"/>
      </w:pPr>
      <w:hyperlink w:history="true" w:anchor="_s10">
        <w:r>
          <w:t xml:space="preserve">1.5  Organisation du serveur</w:t>
        </w:r>
      </w:hyperlink>
    </w:p>
    <w:p>
      <w:pPr>
        <w:pStyle w:val="TOC2"/>
      </w:pPr>
      <w:hyperlink w:history="true" w:anchor="_s11">
        <w:r>
          <w:t xml:space="preserve">1.6  Tâches de fond</w:t>
        </w:r>
      </w:hyperlink>
    </w:p>
    <w:p>
      <w:pPr>
        <w:pStyle w:val="TOC1"/>
      </w:pPr>
      <w:hyperlink w:history="true" w:anchor="_s12">
        <w:r>
          <w:t xml:space="preserve">Chapitre 2 — Prérequis</w:t>
        </w:r>
      </w:hyperlink>
    </w:p>
    <w:p>
      <w:pPr>
        <w:pStyle w:val="TOC2"/>
      </w:pPr>
      <w:hyperlink w:history="true" w:anchor="_s13">
        <w:r>
          <w:t xml:space="preserve">2.1  Serveur</w:t>
        </w:r>
      </w:hyperlink>
    </w:p>
    <w:p>
      <w:pPr>
        <w:pStyle w:val="TOC2"/>
      </w:pPr>
      <w:hyperlink w:history="true" w:anchor="_s14">
        <w:r>
          <w:t xml:space="preserve">2.2  Nom de domaine</w:t>
        </w:r>
      </w:hyperlink>
    </w:p>
    <w:p>
      <w:pPr>
        <w:pStyle w:val="TOC2"/>
      </w:pPr>
      <w:hyperlink w:history="true" w:anchor="_s15">
        <w:r>
          <w:t xml:space="preserve">2.3  Messagerie (SMTP)</w:t>
        </w:r>
      </w:hyperlink>
    </w:p>
    <w:p>
      <w:pPr>
        <w:pStyle w:val="TOC2"/>
      </w:pPr>
      <w:hyperlink w:history="true" w:anchor="_s16">
        <w:r>
          <w:t xml:space="preserve">2.4  Stockage hors serveur</w:t>
        </w:r>
      </w:hyperlink>
    </w:p>
    <w:p>
      <w:pPr>
        <w:pStyle w:val="TOC2"/>
      </w:pPr>
      <w:hyperlink w:history="true" w:anchor="_s17">
        <w:r>
          <w:t xml:space="preserve">2.5  Poste de l'équipe technique</w:t>
        </w:r>
      </w:hyperlink>
    </w:p>
    <w:p>
      <w:pPr>
        <w:pStyle w:val="TOC2"/>
      </w:pPr>
      <w:hyperlink w:history="true" w:anchor="_s18">
        <w:r>
          <w:t xml:space="preserve">2.6  Postes des utilisateurs</w:t>
        </w:r>
      </w:hyperlink>
    </w:p>
    <w:p>
      <w:pPr>
        <w:pStyle w:val="TOC1"/>
      </w:pPr>
      <w:hyperlink w:history="true" w:anchor="_s19">
        <w:r>
          <w:t xml:space="preserve">Chapitre 3 — Installation</w:t>
        </w:r>
      </w:hyperlink>
    </w:p>
    <w:p>
      <w:pPr>
        <w:pStyle w:val="TOC2"/>
      </w:pPr>
      <w:hyperlink w:history="true" w:anchor="_s20">
        <w:r>
          <w:t xml:space="preserve">3.1  Système</w:t>
        </w:r>
      </w:hyperlink>
    </w:p>
    <w:p>
      <w:pPr>
        <w:pStyle w:val="TOC2"/>
      </w:pPr>
      <w:hyperlink w:history="true" w:anchor="_s21">
        <w:r>
          <w:t xml:space="preserve">3.2  Docker</w:t>
        </w:r>
      </w:hyperlink>
    </w:p>
    <w:p>
      <w:pPr>
        <w:pStyle w:val="TOC2"/>
      </w:pPr>
      <w:hyperlink w:history="true" w:anchor="_s22">
        <w:r>
          <w:t xml:space="preserve">3.3  Fichier de réglages</w:t>
        </w:r>
      </w:hyperlink>
    </w:p>
    <w:p>
      <w:pPr>
        <w:pStyle w:val="TOC2"/>
      </w:pPr>
      <w:hyperlink w:history="true" w:anchor="_s23">
        <w:r>
          <w:t xml:space="preserve">3.4  Premier déploiement</w:t>
        </w:r>
      </w:hyperlink>
    </w:p>
    <w:p>
      <w:pPr>
        <w:pStyle w:val="TOC2"/>
      </w:pPr>
      <w:hyperlink w:history="true" w:anchor="_s24">
        <w:r>
          <w:t xml:space="preserve">3.5  Vérifications</w:t>
        </w:r>
      </w:hyperlink>
    </w:p>
    <w:p>
      <w:pPr>
        <w:pStyle w:val="TOC2"/>
      </w:pPr>
      <w:hyperlink w:history="true" w:anchor="_s25">
        <w:r>
          <w:t xml:space="preserve">3.6  Après l'installation</w:t>
        </w:r>
      </w:hyperlink>
    </w:p>
    <w:p>
      <w:pPr>
        <w:pStyle w:val="TOC1"/>
      </w:pPr>
      <w:hyperlink w:history="true" w:anchor="_s26">
        <w:r>
          <w:t xml:space="preserve">Chapitre 4 — Configuration</w:t>
        </w:r>
      </w:hyperlink>
    </w:p>
    <w:p>
      <w:pPr>
        <w:pStyle w:val="TOC2"/>
      </w:pPr>
      <w:hyperlink w:history="true" w:anchor="_s27">
        <w:r>
          <w:t xml:space="preserve">4.1  Appliquer un changement</w:t>
        </w:r>
      </w:hyperlink>
    </w:p>
    <w:p>
      <w:pPr>
        <w:pStyle w:val="TOC2"/>
      </w:pPr>
      <w:hyperlink w:history="true" w:anchor="_s28">
        <w:r>
          <w:t xml:space="preserve">4.2  Base de données</w:t>
        </w:r>
      </w:hyperlink>
    </w:p>
    <w:p>
      <w:pPr>
        <w:pStyle w:val="TOC2"/>
      </w:pPr>
      <w:hyperlink w:history="true" w:anchor="_s29">
        <w:r>
          <w:t xml:space="preserve">4.3  Adresse du site</w:t>
        </w:r>
      </w:hyperlink>
    </w:p>
    <w:p>
      <w:pPr>
        <w:pStyle w:val="TOC2"/>
      </w:pPr>
      <w:hyperlink w:history="true" w:anchor="_s30">
        <w:r>
          <w:t xml:space="preserve">4.4  Application et administrateur initial</w:t>
        </w:r>
      </w:hyperlink>
    </w:p>
    <w:p>
      <w:pPr>
        <w:pStyle w:val="TOC2"/>
      </w:pPr>
      <w:hyperlink w:history="true" w:anchor="_s31">
        <w:r>
          <w:t xml:space="preserve">4.5  Messagerie</w:t>
        </w:r>
      </w:hyperlink>
    </w:p>
    <w:p>
      <w:pPr>
        <w:pStyle w:val="TOC2"/>
      </w:pPr>
      <w:hyperlink w:history="true" w:anchor="_s32">
        <w:r>
          <w:t xml:space="preserve">4.6  Démonstration</w:t>
        </w:r>
      </w:hyperlink>
    </w:p>
    <w:p>
      <w:pPr>
        <w:pStyle w:val="TOC2"/>
      </w:pPr>
      <w:hyperlink w:history="true" w:anchor="_s33">
        <w:r>
          <w:t xml:space="preserve">4.7  Sauvegarde</w:t>
        </w:r>
      </w:hyperlink>
    </w:p>
    <w:p>
      <w:pPr>
        <w:pStyle w:val="TOC2"/>
      </w:pPr>
      <w:hyperlink w:history="true" w:anchor="_s34">
        <w:r>
          <w:t xml:space="preserve">4.8  Réglages avancés de l'application</w:t>
        </w:r>
      </w:hyperlink>
    </w:p>
    <w:p>
      <w:pPr>
        <w:pStyle w:val="TOC1"/>
      </w:pPr>
      <w:hyperlink w:history="true" w:anchor="_s35">
        <w:r>
          <w:t xml:space="preserve">Chapitre 5 — Déploiement et mises à jour</w:t>
        </w:r>
      </w:hyperlink>
    </w:p>
    <w:p>
      <w:pPr>
        <w:pStyle w:val="TOC2"/>
      </w:pPr>
      <w:hyperlink w:history="true" w:anchor="_s36">
        <w:r>
          <w:t xml:space="preserve">5.1  Principe</w:t>
        </w:r>
      </w:hyperlink>
    </w:p>
    <w:p>
      <w:pPr>
        <w:pStyle w:val="TOC2"/>
      </w:pPr>
      <w:hyperlink w:history="true" w:anchor="_s37">
        <w:r>
          <w:t xml:space="preserve">5.2  Déployer une nouvelle version</w:t>
        </w:r>
      </w:hyperlink>
    </w:p>
    <w:p>
      <w:pPr>
        <w:pStyle w:val="TOC2"/>
      </w:pPr>
      <w:hyperlink w:history="true" w:anchor="_s38">
        <w:r>
          <w:t xml:space="preserve">5.3  Migrations du schéma</w:t>
        </w:r>
      </w:hyperlink>
    </w:p>
    <w:p>
      <w:pPr>
        <w:pStyle w:val="TOC2"/>
      </w:pPr>
      <w:hyperlink w:history="true" w:anchor="_s39">
        <w:r>
          <w:t xml:space="preserve">5.4  Revenir à la version précédente</w:t>
        </w:r>
      </w:hyperlink>
    </w:p>
    <w:p>
      <w:pPr>
        <w:pStyle w:val="TOC2"/>
      </w:pPr>
      <w:hyperlink w:history="true" w:anchor="_s40">
        <w:r>
          <w:t xml:space="preserve">5.5  Versions figées</w:t>
        </w:r>
      </w:hyperlink>
    </w:p>
    <w:p>
      <w:pPr>
        <w:pStyle w:val="TOC2"/>
      </w:pPr>
      <w:hyperlink w:history="true" w:anchor="_s41">
        <w:r>
          <w:t xml:space="preserve">5.6  Mise à jour mensuelle</w:t>
        </w:r>
      </w:hyperlink>
    </w:p>
    <w:p>
      <w:pPr>
        <w:pStyle w:val="TOC1"/>
      </w:pPr>
      <w:hyperlink w:history="true" w:anchor="_s42">
        <w:r>
          <w:t xml:space="preserve">Chapitre 6 — Sauvegarde et restauration</w:t>
        </w:r>
      </w:hyperlink>
    </w:p>
    <w:p>
      <w:pPr>
        <w:pStyle w:val="TOC2"/>
      </w:pPr>
      <w:hyperlink w:history="true" w:anchor="_s43">
        <w:r>
          <w:t xml:space="preserve">6.1  Ce qui est sauvegardé</w:t>
        </w:r>
      </w:hyperlink>
    </w:p>
    <w:p>
      <w:pPr>
        <w:pStyle w:val="TOC2"/>
      </w:pPr>
      <w:hyperlink w:history="true" w:anchor="_s44">
        <w:r>
          <w:t xml:space="preserve">6.2  Activer la sauvegarde quotidienne</w:t>
        </w:r>
      </w:hyperlink>
    </w:p>
    <w:p>
      <w:pPr>
        <w:pStyle w:val="TOC2"/>
      </w:pPr>
      <w:hyperlink w:history="true" w:anchor="_s45">
        <w:r>
          <w:t xml:space="preserve">6.3  Copie hors serveur chiffrée</w:t>
        </w:r>
      </w:hyperlink>
    </w:p>
    <w:p>
      <w:pPr>
        <w:pStyle w:val="TOC2"/>
      </w:pPr>
      <w:hyperlink w:history="true" w:anchor="_s46">
        <w:r>
          <w:t xml:space="preserve">6.4  Restaurer</w:t>
        </w:r>
      </w:hyperlink>
    </w:p>
    <w:p>
      <w:pPr>
        <w:pStyle w:val="TOC1"/>
      </w:pPr>
      <w:hyperlink w:history="true" w:anchor="_s47">
        <w:r>
          <w:t xml:space="preserve">Chapitre 7 — Sécurité</w:t>
        </w:r>
      </w:hyperlink>
    </w:p>
    <w:p>
      <w:pPr>
        <w:pStyle w:val="TOC2"/>
      </w:pPr>
      <w:hyperlink w:history="true" w:anchor="_s48">
        <w:r>
          <w:t xml:space="preserve">7.1  Transport et en-têtes</w:t>
        </w:r>
      </w:hyperlink>
    </w:p>
    <w:p>
      <w:pPr>
        <w:pStyle w:val="TOC2"/>
      </w:pPr>
      <w:hyperlink w:history="true" w:anchor="_s49">
        <w:r>
          <w:t xml:space="preserve">7.2  Comptes et sessions</w:t>
        </w:r>
      </w:hyperlink>
    </w:p>
    <w:p>
      <w:pPr>
        <w:pStyle w:val="TOC2"/>
      </w:pPr>
      <w:hyperlink w:history="true" w:anchor="_s50">
        <w:r>
          <w:t xml:space="preserve">7.3  Autorisations et données</w:t>
        </w:r>
      </w:hyperlink>
    </w:p>
    <w:p>
      <w:pPr>
        <w:pStyle w:val="TOC2"/>
      </w:pPr>
      <w:hyperlink w:history="true" w:anchor="_s51">
        <w:r>
          <w:t xml:space="preserve">7.4  Serveur</w:t>
        </w:r>
      </w:hyperlink>
    </w:p>
    <w:p>
      <w:pPr>
        <w:pStyle w:val="TOC2"/>
      </w:pPr>
      <w:hyperlink w:history="true" w:anchor="_s52">
        <w:r>
          <w:t xml:space="preserve">7.5  Responsabilités de l'exploitant</w:t>
        </w:r>
      </w:hyperlink>
    </w:p>
    <w:p>
      <w:pPr>
        <w:pStyle w:val="TOC2"/>
      </w:pPr>
      <w:hyperlink w:history="true" w:anchor="_s53">
        <w:r>
          <w:t xml:space="preserve">7.6  Signaler ou traiter une compromission</w:t>
        </w:r>
      </w:hyperlink>
    </w:p>
    <w:p>
      <w:pPr>
        <w:pStyle w:val="TOC1"/>
      </w:pPr>
      <w:hyperlink w:history="true" w:anchor="_s54">
        <w:r>
          <w:t xml:space="preserve">Chapitre 8 — Supervision</w:t>
        </w:r>
      </w:hyperlink>
    </w:p>
    <w:p>
      <w:pPr>
        <w:pStyle w:val="TOC2"/>
      </w:pPr>
      <w:hyperlink w:history="true" w:anchor="_s55">
        <w:r>
          <w:t xml:space="preserve">8.1  État des conteneurs</w:t>
        </w:r>
      </w:hyperlink>
    </w:p>
    <w:p>
      <w:pPr>
        <w:pStyle w:val="TOC2"/>
      </w:pPr>
      <w:hyperlink w:history="true" w:anchor="_s56">
        <w:r>
          <w:t xml:space="preserve">8.2  Journaux</w:t>
        </w:r>
      </w:hyperlink>
    </w:p>
    <w:p>
      <w:pPr>
        <w:pStyle w:val="TOC2"/>
      </w:pPr>
      <w:hyperlink w:history="true" w:anchor="_s57">
        <w:r>
          <w:t xml:space="preserve">8.3  Place disque</w:t>
        </w:r>
      </w:hyperlink>
    </w:p>
    <w:p>
      <w:pPr>
        <w:pStyle w:val="TOC2"/>
      </w:pPr>
      <w:hyperlink w:history="true" w:anchor="_s58">
        <w:r>
          <w:t xml:space="preserve">8.4  Sauvegardes</w:t>
        </w:r>
      </w:hyperlink>
    </w:p>
    <w:p>
      <w:pPr>
        <w:pStyle w:val="TOC2"/>
      </w:pPr>
      <w:hyperlink w:history="true" w:anchor="_s59">
        <w:r>
          <w:t xml:space="preserve">8.5  Alertes conseillées</w:t>
        </w:r>
      </w:hyperlink>
    </w:p>
    <w:p>
      <w:pPr>
        <w:pStyle w:val="TOC2"/>
      </w:pPr>
      <w:hyperlink w:history="true" w:anchor="_s60">
        <w:r>
          <w:t xml:space="preserve">8.6  Statistiques d'utilisation</w:t>
        </w:r>
      </w:hyperlink>
    </w:p>
    <w:p>
      <w:pPr>
        <w:pStyle w:val="TOC1"/>
      </w:pPr>
      <w:hyperlink w:history="true" w:anchor="_s61">
        <w:r>
          <w:t xml:space="preserve">Chapitre 9 — Dépannage</w:t>
        </w:r>
      </w:hyperlink>
    </w:p>
    <w:p>
      <w:pPr>
        <w:pStyle w:val="TOC2"/>
      </w:pPr>
      <w:hyperlink w:history="true" w:anchor="_s62">
        <w:r>
          <w:t xml:space="preserve">9.1  Le certificat HTTPS n'est pas obtenu</w:t>
        </w:r>
      </w:hyperlink>
    </w:p>
    <w:p>
      <w:pPr>
        <w:pStyle w:val="TOC2"/>
      </w:pPr>
      <w:hyperlink w:history="true" w:anchor="_s63">
        <w:r>
          <w:t xml:space="preserve">9.2  Le conteneur de l'application est « unhealthy » ou redémarre en boucle</w:t>
        </w:r>
      </w:hyperlink>
    </w:p>
    <w:p>
      <w:pPr>
        <w:pStyle w:val="TOC2"/>
      </w:pPr>
      <w:hyperlink w:history="true" w:anchor="_s64">
        <w:r>
          <w:t xml:space="preserve">9.3  Les migrations échouent</w:t>
        </w:r>
      </w:hyperlink>
    </w:p>
    <w:p>
      <w:pPr>
        <w:pStyle w:val="TOC2"/>
      </w:pPr>
      <w:hyperlink w:history="true" w:anchor="_s65">
        <w:r>
          <w:t xml:space="preserve">9.4  Le disque est plein</w:t>
        </w:r>
      </w:hyperlink>
    </w:p>
    <w:p>
      <w:pPr>
        <w:pStyle w:val="TOC2"/>
      </w:pPr>
      <w:hyperlink w:history="true" w:anchor="_s66">
        <w:r>
          <w:t xml:space="preserve">9.5  Les e-mails ne partent pas</w:t>
        </w:r>
      </w:hyperlink>
    </w:p>
    <w:p>
      <w:pPr>
        <w:pStyle w:val="TOC2"/>
      </w:pPr>
      <w:hyperlink w:history="true" w:anchor="_s67">
        <w:r>
          <w:t xml:space="preserve">9.6  L'heure affichée est fausse ou les connexions échouent par intermittence</w:t>
        </w:r>
      </w:hyperlink>
    </w:p>
    <w:p>
      <w:pPr>
        <w:pStyle w:val="TOC2"/>
      </w:pPr>
      <w:hyperlink w:history="true" w:anchor="_s68">
        <w:r>
          <w:t xml:space="preserve">9.7  Le mot de passe de l'administrateur est perdu</w:t>
        </w:r>
      </w:hyperlink>
    </w:p>
    <w:p>
      <w:pPr>
        <w:pStyle w:val="TOC2"/>
      </w:pPr>
      <w:hyperlink w:history="true" w:anchor="_s69">
        <w:r>
          <w:t xml:space="preserve">9.8  Trop de requêtes (429) ou blocage d'un bureau entier</w:t>
        </w:r>
      </w:hyperlink>
    </w:p>
    <w:p>
      <w:pPr>
        <w:pStyle w:val="TOC2"/>
      </w:pPr>
      <w:hyperlink w:history="true" w:anchor="_s70">
        <w:r>
          <w:t xml:space="preserve">9.9  Toutes les adresses du journal d'audit sont identiques</w:t>
        </w:r>
      </w:hyperlink>
    </w:p>
    <w:p>
      <w:pPr>
        <w:pStyle w:val="TOC2"/>
      </w:pPr>
      <w:hyperlink w:history="true" w:anchor="_s71">
        <w:r>
          <w:t xml:space="preserve">9.10  Une restauration d'essai échoue</w:t>
        </w:r>
      </w:hyperlink>
    </w:p>
    <w:p>
      <w:pPr>
        <w:pStyle w:val="TOC2"/>
      </w:pPr>
      <w:hyperlink w:history="true" w:anchor="_s72">
        <w:r>
          <w:t xml:space="preserve">9.11  Les utilisateurs voient une ancienne version du module hors ligne</w:t>
        </w:r>
      </w:hyperlink>
    </w:p>
    <w:p>
      <w:pPr>
        <w:pStyle w:val="TOC1"/>
      </w:pPr>
      <w:hyperlink w:history="true" w:anchor="_s73">
        <w:r>
          <w:t xml:space="preserve">Chapitre 10 — API et module hors ligne</w:t>
        </w:r>
      </w:hyperlink>
    </w:p>
    <w:p>
      <w:pPr>
        <w:pStyle w:val="TOC2"/>
      </w:pPr>
      <w:hyperlink w:history="true" w:anchor="_s74">
        <w:r>
          <w:t xml:space="preserve">10.1  L'API REST</w:t>
        </w:r>
      </w:hyperlink>
    </w:p>
    <w:p>
      <w:pPr>
        <w:pStyle w:val="TOC2"/>
      </w:pPr>
      <w:hyperlink w:history="true" w:anchor="_s75">
        <w:r>
          <w:t xml:space="preserve">10.2  Le module hors ligne</w:t>
        </w:r>
      </w:hyperlink>
    </w:p>
    <w:p>
      <w:pPr>
        <w:pStyle w:val="TOC1"/>
      </w:pPr>
      <w:hyperlink w:history="true" w:anchor="_s76">
        <w:r>
          <w:t xml:space="preserve">Chapitre 11 — Environnement de démonstration</w:t>
        </w:r>
      </w:hyperlink>
    </w:p>
    <w:p>
      <w:pPr>
        <w:pStyle w:val="TOC2"/>
      </w:pPr>
      <w:hyperlink w:history="true" w:anchor="_s77">
        <w:r>
          <w:t xml:space="preserve">11.1  Données de démonstration</w:t>
        </w:r>
      </w:hyperlink>
    </w:p>
    <w:p>
      <w:pPr>
        <w:pStyle w:val="TOC2"/>
      </w:pPr>
      <w:hyperlink w:history="true" w:anchor="_s78">
        <w:r>
          <w:t xml:space="preserve">11.2  Remettre la démonstration à zéro</w:t>
        </w:r>
      </w:hyperlink>
    </w:p>
    <w:p>
      <w:pPr>
        <w:pStyle w:val="TOC2"/>
      </w:pPr>
      <w:hyperlink w:history="true" w:anchor="_s79">
        <w:r>
          <w:t xml:space="preserve">11.3  Ce qu'il ne faut jamais faire sur une plateforme réelle</w:t>
        </w:r>
      </w:hyperlink>
    </w:p>
    <w:p>
      <w:pPr>
        <w:pStyle w:val="TOC1"/>
      </w:pPr>
      <w:hyperlink w:history="true" w:anchor="_s80">
        <w:r>
          <w:t xml:space="preserve">Annexe A — Aide-mémoire des commandes</w:t>
        </w:r>
      </w:hyperlink>
    </w:p>
    <w:p>
      <w:pPr>
        <w:pStyle w:val="TOC2"/>
      </w:pPr>
      <w:hyperlink w:history="true" w:anchor="_s81">
        <w:r>
          <w:t xml:space="preserve">A.1  État et journaux</w:t>
        </w:r>
      </w:hyperlink>
    </w:p>
    <w:p>
      <w:pPr>
        <w:pStyle w:val="TOC2"/>
      </w:pPr>
      <w:hyperlink w:history="true" w:anchor="_s82">
        <w:r>
          <w:t xml:space="preserve">A.2  Démarrer, arrêter, appliquer un réglage</w:t>
        </w:r>
      </w:hyperlink>
    </w:p>
    <w:p>
      <w:pPr>
        <w:pStyle w:val="TOC2"/>
      </w:pPr>
      <w:hyperlink w:history="true" w:anchor="_s83">
        <w:r>
          <w:t xml:space="preserve">A.3  Déploiement (depuis le poste)</w:t>
        </w:r>
      </w:hyperlink>
    </w:p>
    <w:p>
      <w:pPr>
        <w:pStyle w:val="TOC2"/>
      </w:pPr>
      <w:hyperlink w:history="true" w:anchor="_s84">
        <w:r>
          <w:t xml:space="preserve">A.4  Sauvegarde et restauration</w:t>
        </w:r>
      </w:hyperlink>
    </w:p>
    <w:p>
      <w:pPr>
        <w:pStyle w:val="TOC2"/>
      </w:pPr>
      <w:hyperlink w:history="true" w:anchor="_s85">
        <w:r>
          <w:t xml:space="preserve">A.5  Base de données</w:t>
        </w:r>
      </w:hyperlink>
    </w:p>
    <w:p>
      <w:pPr>
        <w:pStyle w:val="TOC2"/>
      </w:pPr>
      <w:hyperlink w:history="true" w:anchor="_s86">
        <w:r>
          <w:t xml:space="preserve">A.6  Fichiers et e-mails locaux</w:t>
        </w:r>
      </w:hyperlink>
    </w:p>
    <w:p>
      <w:pPr>
        <w:pStyle w:val="TOC2"/>
      </w:pPr>
      <w:hyperlink w:history="true" w:anchor="_s87">
        <w:r>
          <w:t xml:space="preserve">A.7  Système et place disque</w:t>
        </w:r>
      </w:hyperlink>
    </w:p>
    <w:p>
      <w:pPr>
        <w:pStyle w:val="TOC2"/>
      </w:pPr>
      <w:hyperlink w:history="true" w:anchor="_s88">
        <w:r>
          <w:t xml:space="preserve">A.8  Démonstration seulement</w:t>
        </w:r>
      </w:hyperlink>
      <w:r>
        <w:fldChar w:fldCharType="end"/>
      </w:r>
    </w:p>
    <w:p>
      <w:pPr>
        <w:pStyle w:val="Heading1"/>
        <w:pageBreakBefore/>
      </w:pPr>
      <w:bookmarkStart w:name="_s1" w:id="1"/>
      <w:r>
        <w:t xml:space="preserve">À propos de ce guide</w:t>
      </w:r>
      <w:bookmarkEnd w:id="1"/>
    </w:p>
    <w:p>
      <w:pPr>
        <w:pStyle w:val="Chapeau"/>
      </w:pPr>
      <w:r>
        <w:t xml:space="preserve">À qui s'adresse ce guide, ce qu'il couvre et comment le lire.</w:t>
      </w:r>
    </w:p>
    <w:p>
      <w:pPr>
        <w:pStyle w:val="Note"/>
      </w:pPr>
      <w:r>
        <w:t xml:space="preserve">Concerne : </w:t>
      </w:r>
      <w:r>
        <w:rPr>
          <w:b/>
        </w:rPr>
        <w:t xml:space="preserve">Équipe technique · Hébergeur</w:t>
      </w:r>
    </w:p>
    <w:p>
      <w:pPr/>
      <w:r>
        <w:t xml:space="preserve">Ce guide décrit l'installation, la configuration, le déploiement, la sauvegarde, la sécurité et la surveillance de la</w:t>
      </w:r>
      <w:r>
        <w:t xml:space="preserve"> </w:t>
      </w:r>
      <w:r>
        <w:t xml:space="preserve">plateforme READ sur un serveur. Il s'adresse à l'équipe technique (ICT) qui exploite la plateforme et à l'hébergeur.</w:t>
      </w:r>
    </w:p>
    <w:p>
      <w:pPr/>
      <w:r>
        <w:t xml:space="preserve">L'utilisation fonctionnelle de la plateforme est décrite dans le</w:t>
      </w:r>
      <w:r>
        <w:t xml:space="preserve"> </w:t>
      </w:r>
      <w:hyperlink w:history="true" w:anchor="_s89">
        <w:r>
          <w:rPr>
            <w:rStyle w:val="Hyperlink"/>
          </w:rPr>
          <w:t xml:space="preserve">Guide de l'utilisateur</w:t>
        </w:r>
      </w:hyperlink>
      <w:r>
        <w:t xml:space="preserve"> ; l'administration (comptes, paramètres, référentiels) dans le</w:t>
      </w:r>
      <w:r>
        <w:t xml:space="preserve"> </w:t>
      </w:r>
      <w:hyperlink w:history="true" w:anchor="_s90">
        <w:r>
          <w:rPr>
            <w:rStyle w:val="Hyperlink"/>
          </w:rPr>
          <w:t xml:space="preserve">Guide de l'administrateur</w:t>
        </w:r>
      </w:hyperlink>
      <w:r>
        <w:t xml:space="preserve">.</w:t>
      </w:r>
    </w:p>
    <w:p>
      <w:pPr>
        <w:pStyle w:val="Heading2"/>
      </w:pPr>
      <w:bookmarkStart w:name="_s2" w:id="2"/>
      <w:r>
        <w:t xml:space="preserve">Ce que vous devez savoir avant de commencer</w:t>
      </w:r>
      <w:bookmarkEnd w:id="2"/>
    </w:p>
    <w:p>
      <w:pPr/>
      <w:r>
        <w:t xml:space="preserve">Le guide suppose une pratique courante de :</w:t>
      </w:r>
    </w:p>
    <w:p>
      <w:pPr>
        <w:pStyle w:val="ListParagraph"/>
        <w:numPr>
          <w:ilvl w:val="0"/>
          <w:numId w:val="1"/>
        </w:numPr>
      </w:pPr>
      <w:r>
        <w:t xml:space="preserve">l'administration d'un serveur Linux (Ubuntu) en ligne de commande, par SSH ;</w:t>
      </w:r>
    </w:p>
    <w:p>
      <w:pPr>
        <w:pStyle w:val="ListParagraph"/>
        <w:numPr>
          <w:ilvl w:val="0"/>
          <w:numId w:val="1"/>
        </w:numPr>
      </w:pPr>
      <w:r>
        <w:t xml:space="preserve">Docker et Docker Compose ;</w:t>
      </w:r>
    </w:p>
    <w:p>
      <w:pPr>
        <w:pStyle w:val="ListParagraph"/>
        <w:numPr>
          <w:ilvl w:val="0"/>
          <w:numId w:val="1"/>
        </w:numPr>
      </w:pPr>
      <w:r>
        <w:t xml:space="preserve">les notions de nom de domaine, d'enregistrement DNS et de certificat HTTPS.</w:t>
      </w:r>
    </w:p>
    <w:p>
      <w:pPr/>
      <w:r>
        <w:t xml:space="preserve">Aucune connaissance de .NET n'est nécessaire pour exploiter la plateforme : elle est livrée sous forme de conteneurs.</w:t>
      </w:r>
    </w:p>
    <w:p>
      <w:pPr>
        <w:pStyle w:val="Heading2"/>
      </w:pPr>
      <w:bookmarkStart w:name="_s3" w:id="3"/>
      <w:r>
        <w:t xml:space="preserve">Organisation du guide</w:t>
      </w:r>
      <w:bookmarkEnd w:id="3"/>
    </w:p>
    <w:tbl>
      <w:tblPr>
        <w:tblW w:w="5000" w:type="pct"/>
        <w:tblBorders>
          <w:top w:val="single" w:color="DFE4EC" w:sz="4"/>
          <w:bottom w:val="single" w:color="DFE4EC" w:sz="4"/>
          <w:left w:val="nil"/>
          <w:right w:val="nil"/>
          <w:insideH w:val="single" w:color="DFE4EC" w:sz="4"/>
          <w:insideV w:val="nil"/>
        </w:tblBorders>
        <w:tblLayout w:type="fixed"/>
        <w:tblCellMar>
          <w:top w:w="50" w:type="dxa"/>
          <w:left w:w="100" w:type="dxa"/>
          <w:bottom w:w="50" w:type="dxa"/>
          <w:right w:w="100" w:type="dxa"/>
        </w:tblCellMar>
      </w:tblPr>
      <w:tblGrid>
        <w:gridCol w:w="3212"/>
        <w:gridCol w:w="6425"/>
      </w:tblGrid>
      <w:tr>
        <w:trPr>
          <w:cantSplit/>
          <w:tblHeader/>
        </w:trPr>
        <w:tc>
          <w:tcPr>
            <w:tcW w:w="3212" w:type="dxa"/>
            <w:shd w:val="clear" w:color="auto" w:fill="F4F6FA"/>
          </w:tcPr>
          <w:p>
            <w:pPr>
              <w:pStyle w:val="Tableau"/>
            </w:pPr>
            <w:r>
              <w:rPr>
                <w:b/>
              </w:rPr>
              <w:t xml:space="preserve">Chapitre</w:t>
            </w:r>
          </w:p>
        </w:tc>
        <w:tc>
          <w:tcPr>
            <w:tcW w:w="6425" w:type="dxa"/>
            <w:shd w:val="clear" w:color="auto" w:fill="F4F6FA"/>
          </w:tcPr>
          <w:p>
            <w:pPr>
              <w:pStyle w:val="Tableau"/>
            </w:pPr>
            <w:r>
              <w:rPr>
                <w:b/>
              </w:rPr>
              <w:t xml:space="preserve">Contenu</w:t>
            </w:r>
          </w:p>
        </w:tc>
      </w:tr>
      <w:tr>
        <w:trPr>
          <w:cantSplit/>
        </w:trPr>
        <w:tc>
          <w:tcPr>
            <w:tcW w:w="3212" w:type="dxa"/>
          </w:tcPr>
          <w:p>
            <w:pPr>
              <w:pStyle w:val="Tableau"/>
            </w:pPr>
            <w:hyperlink w:history="true" w:anchor="_s5">
              <w:r>
                <w:rPr>
                  <w:rStyle w:val="Hyperlink"/>
                </w:rPr>
                <w:t xml:space="preserve">Architecture</w:t>
              </w:r>
            </w:hyperlink>
          </w:p>
        </w:tc>
        <w:tc>
          <w:tcPr>
            <w:tcW w:w="6425" w:type="dxa"/>
          </w:tcPr>
          <w:p>
            <w:pPr>
              <w:pStyle w:val="Tableau"/>
            </w:pPr>
            <w:r>
              <w:t xml:space="preserve">Composants, conteneurs, volumes, flux réseau</w:t>
            </w:r>
          </w:p>
        </w:tc>
      </w:tr>
      <w:tr>
        <w:trPr>
          <w:cantSplit/>
        </w:trPr>
        <w:tc>
          <w:tcPr>
            <w:tcW w:w="3212" w:type="dxa"/>
          </w:tcPr>
          <w:p>
            <w:pPr>
              <w:pStyle w:val="Tableau"/>
            </w:pPr>
            <w:hyperlink w:history="true" w:anchor="_s12">
              <w:r>
                <w:rPr>
                  <w:rStyle w:val="Hyperlink"/>
                </w:rPr>
                <w:t xml:space="preserve">Prérequis</w:t>
              </w:r>
            </w:hyperlink>
          </w:p>
        </w:tc>
        <w:tc>
          <w:tcPr>
            <w:tcW w:w="6425" w:type="dxa"/>
          </w:tcPr>
          <w:p>
            <w:pPr>
              <w:pStyle w:val="Tableau"/>
            </w:pPr>
            <w:r>
              <w:t xml:space="preserve">Serveur, nom de domaine, messagerie, stockage hors serveur</w:t>
            </w:r>
          </w:p>
        </w:tc>
      </w:tr>
      <w:tr>
        <w:trPr>
          <w:cantSplit/>
        </w:trPr>
        <w:tc>
          <w:tcPr>
            <w:tcW w:w="3212" w:type="dxa"/>
          </w:tcPr>
          <w:p>
            <w:pPr>
              <w:pStyle w:val="Tableau"/>
            </w:pPr>
            <w:hyperlink w:history="true" w:anchor="_s19">
              <w:r>
                <w:rPr>
                  <w:rStyle w:val="Hyperlink"/>
                </w:rPr>
                <w:t xml:space="preserve">Installation</w:t>
              </w:r>
            </w:hyperlink>
          </w:p>
        </w:tc>
        <w:tc>
          <w:tcPr>
            <w:tcW w:w="6425" w:type="dxa"/>
          </w:tcPr>
          <w:p>
            <w:pPr>
              <w:pStyle w:val="Tableau"/>
            </w:pPr>
            <w:r>
              <w:t xml:space="preserve">Préparation du serveur et premier déploiement</w:t>
            </w:r>
          </w:p>
        </w:tc>
      </w:tr>
      <w:tr>
        <w:trPr>
          <w:cantSplit/>
        </w:trPr>
        <w:tc>
          <w:tcPr>
            <w:tcW w:w="3212" w:type="dxa"/>
          </w:tcPr>
          <w:p>
            <w:pPr>
              <w:pStyle w:val="Tableau"/>
            </w:pPr>
            <w:hyperlink w:history="true" w:anchor="_s26">
              <w:r>
                <w:rPr>
                  <w:rStyle w:val="Hyperlink"/>
                </w:rPr>
                <w:t xml:space="preserve">Configuration</w:t>
              </w:r>
            </w:hyperlink>
          </w:p>
        </w:tc>
        <w:tc>
          <w:tcPr>
            <w:tcW w:w="6425" w:type="dxa"/>
          </w:tcPr>
          <w:p>
            <w:pPr>
              <w:pStyle w:val="Tableau"/>
            </w:pPr>
            <w:r>
              <w:t xml:space="preserve">Toutes les variables de réglage et leurs valeurs par défaut</w:t>
            </w:r>
          </w:p>
        </w:tc>
      </w:tr>
      <w:tr>
        <w:trPr>
          <w:cantSplit/>
        </w:trPr>
        <w:tc>
          <w:tcPr>
            <w:tcW w:w="3212" w:type="dxa"/>
          </w:tcPr>
          <w:p>
            <w:pPr>
              <w:pStyle w:val="Tableau"/>
            </w:pPr>
            <w:hyperlink w:history="true" w:anchor="_s35">
              <w:r>
                <w:rPr>
                  <w:rStyle w:val="Hyperlink"/>
                </w:rPr>
                <w:t xml:space="preserve">Déploiement et mises à jour</w:t>
              </w:r>
            </w:hyperlink>
          </w:p>
        </w:tc>
        <w:tc>
          <w:tcPr>
            <w:tcW w:w="6425" w:type="dxa"/>
          </w:tcPr>
          <w:p>
            <w:pPr>
              <w:pStyle w:val="Tableau"/>
            </w:pPr>
            <w:r>
              <w:t xml:space="preserve">Nouvelle version, retour arrière, migrations, mises à jour mensuelles</w:t>
            </w:r>
          </w:p>
        </w:tc>
      </w:tr>
      <w:tr>
        <w:trPr>
          <w:cantSplit/>
        </w:trPr>
        <w:tc>
          <w:tcPr>
            <w:tcW w:w="3212" w:type="dxa"/>
          </w:tcPr>
          <w:p>
            <w:pPr>
              <w:pStyle w:val="Tableau"/>
            </w:pPr>
            <w:hyperlink w:history="true" w:anchor="_s42">
              <w:r>
                <w:rPr>
                  <w:rStyle w:val="Hyperlink"/>
                </w:rPr>
                <w:t xml:space="preserve">Sauvegarde et restauration</w:t>
              </w:r>
            </w:hyperlink>
          </w:p>
        </w:tc>
        <w:tc>
          <w:tcPr>
            <w:tcW w:w="6425" w:type="dxa"/>
          </w:tcPr>
          <w:p>
            <w:pPr>
              <w:pStyle w:val="Tableau"/>
            </w:pPr>
            <w:r>
              <w:t xml:space="preserve">Sauvegarde quotidienne, copie chiffrée hors serveur, restauration</w:t>
            </w:r>
          </w:p>
        </w:tc>
      </w:tr>
      <w:tr>
        <w:trPr>
          <w:cantSplit/>
        </w:trPr>
        <w:tc>
          <w:tcPr>
            <w:tcW w:w="3212" w:type="dxa"/>
          </w:tcPr>
          <w:p>
            <w:pPr>
              <w:pStyle w:val="Tableau"/>
            </w:pPr>
            <w:hyperlink w:history="true" w:anchor="_s47">
              <w:r>
                <w:rPr>
                  <w:rStyle w:val="Hyperlink"/>
                </w:rPr>
                <w:t xml:space="preserve">Sécurité</w:t>
              </w:r>
            </w:hyperlink>
          </w:p>
        </w:tc>
        <w:tc>
          <w:tcPr>
            <w:tcW w:w="6425" w:type="dxa"/>
          </w:tcPr>
          <w:p>
            <w:pPr>
              <w:pStyle w:val="Tableau"/>
            </w:pPr>
            <w:r>
              <w:t xml:space="preserve">Mesures en place et responsabilités de l'exploitant</w:t>
            </w:r>
          </w:p>
        </w:tc>
      </w:tr>
      <w:tr>
        <w:trPr>
          <w:cantSplit/>
        </w:trPr>
        <w:tc>
          <w:tcPr>
            <w:tcW w:w="3212" w:type="dxa"/>
          </w:tcPr>
          <w:p>
            <w:pPr>
              <w:pStyle w:val="Tableau"/>
            </w:pPr>
            <w:hyperlink w:history="true" w:anchor="_s54">
              <w:r>
                <w:rPr>
                  <w:rStyle w:val="Hyperlink"/>
                </w:rPr>
                <w:t xml:space="preserve">Supervision</w:t>
              </w:r>
            </w:hyperlink>
          </w:p>
        </w:tc>
        <w:tc>
          <w:tcPr>
            <w:tcW w:w="6425" w:type="dxa"/>
          </w:tcPr>
          <w:p>
            <w:pPr>
              <w:pStyle w:val="Tableau"/>
            </w:pPr>
            <w:r>
              <w:t xml:space="preserve">Journaux, état de santé, place disque, alertes</w:t>
            </w:r>
          </w:p>
        </w:tc>
      </w:tr>
      <w:tr>
        <w:trPr>
          <w:cantSplit/>
        </w:trPr>
        <w:tc>
          <w:tcPr>
            <w:tcW w:w="3212" w:type="dxa"/>
          </w:tcPr>
          <w:p>
            <w:pPr>
              <w:pStyle w:val="Tableau"/>
            </w:pPr>
            <w:hyperlink w:history="true" w:anchor="_s61">
              <w:r>
                <w:rPr>
                  <w:rStyle w:val="Hyperlink"/>
                </w:rPr>
                <w:t xml:space="preserve">Dépannage</w:t>
              </w:r>
            </w:hyperlink>
          </w:p>
        </w:tc>
        <w:tc>
          <w:tcPr>
            <w:tcW w:w="6425" w:type="dxa"/>
          </w:tcPr>
          <w:p>
            <w:pPr>
              <w:pStyle w:val="Tableau"/>
            </w:pPr>
            <w:r>
              <w:t xml:space="preserve">Fiches d'incidents : symptôme, diagnostic, solution</w:t>
            </w:r>
          </w:p>
        </w:tc>
      </w:tr>
      <w:tr>
        <w:trPr>
          <w:cantSplit/>
        </w:trPr>
        <w:tc>
          <w:tcPr>
            <w:tcW w:w="3212" w:type="dxa"/>
          </w:tcPr>
          <w:p>
            <w:pPr>
              <w:pStyle w:val="Tableau"/>
            </w:pPr>
            <w:hyperlink w:history="true" w:anchor="_s73">
              <w:r>
                <w:rPr>
                  <w:rStyle w:val="Hyperlink"/>
                </w:rPr>
                <w:t xml:space="preserve">API et module hors ligne</w:t>
              </w:r>
            </w:hyperlink>
          </w:p>
        </w:tc>
        <w:tc>
          <w:tcPr>
            <w:tcW w:w="6425" w:type="dxa"/>
          </w:tcPr>
          <w:p>
            <w:pPr>
              <w:pStyle w:val="Tableau"/>
            </w:pPr>
            <w:r>
              <w:t xml:space="preserve">Jetons, durées, description OpenAPI, mise à jour du module</w:t>
            </w:r>
          </w:p>
        </w:tc>
      </w:tr>
      <w:tr>
        <w:trPr>
          <w:cantSplit/>
        </w:trPr>
        <w:tc>
          <w:tcPr>
            <w:tcW w:w="3212" w:type="dxa"/>
          </w:tcPr>
          <w:p>
            <w:pPr>
              <w:pStyle w:val="Tableau"/>
            </w:pPr>
            <w:hyperlink w:history="true" w:anchor="_s76">
              <w:r>
                <w:rPr>
                  <w:rStyle w:val="Hyperlink"/>
                </w:rPr>
                <w:t xml:space="preserve">Environnement de démonstration</w:t>
              </w:r>
            </w:hyperlink>
          </w:p>
        </w:tc>
        <w:tc>
          <w:tcPr>
            <w:tcW w:w="6425" w:type="dxa"/>
          </w:tcPr>
          <w:p>
            <w:pPr>
              <w:pStyle w:val="Tableau"/>
            </w:pPr>
            <w:r>
              <w:t xml:space="preserve">Données fictives et remise à zéro</w:t>
            </w:r>
          </w:p>
        </w:tc>
      </w:tr>
      <w:tr>
        <w:trPr>
          <w:cantSplit/>
        </w:trPr>
        <w:tc>
          <w:tcPr>
            <w:tcW w:w="3212" w:type="dxa"/>
          </w:tcPr>
          <w:p>
            <w:pPr>
              <w:pStyle w:val="Tableau"/>
            </w:pPr>
            <w:hyperlink w:history="true" w:anchor="_s80">
              <w:r>
                <w:rPr>
                  <w:rStyle w:val="Hyperlink"/>
                </w:rPr>
                <w:t xml:space="preserve">Aide-mémoire</w:t>
              </w:r>
            </w:hyperlink>
          </w:p>
        </w:tc>
        <w:tc>
          <w:tcPr>
            <w:tcW w:w="6425" w:type="dxa"/>
          </w:tcPr>
          <w:p>
            <w:pPr>
              <w:pStyle w:val="Tableau"/>
            </w:pPr>
            <w:r>
              <w:t xml:space="preserve">Les commandes utiles, regroupées</w:t>
            </w:r>
          </w:p>
        </w:tc>
      </w:tr>
    </w:tbl>
    <w:p>
      <w:pPr>
        <w:spacing w:before="0" w:after="0"/>
      </w:pPr>
    </w:p>
    <w:p>
      <w:pPr>
        <w:pStyle w:val="Heading2"/>
      </w:pPr>
      <w:bookmarkStart w:name="_s4" w:id="4"/>
      <w:r>
        <w:t xml:space="preserve">Conventions</w:t>
      </w:r>
      <w:bookmarkEnd w:id="4"/>
    </w:p>
    <w:p>
      <w:pPr>
        <w:pStyle w:val="ListParagraph"/>
        <w:numPr>
          <w:ilvl w:val="0"/>
          <w:numId w:val="1"/>
        </w:numPr>
      </w:pPr>
      <w:r>
        <w:t xml:space="preserve">Les commandes sont à taper dans un terminal du serveur, sauf mention « depuis le poste » (le poste de l'équipe</w:t>
      </w:r>
      <w:r>
        <w:t xml:space="preserve"> </w:t>
      </w:r>
      <w:r>
        <w:t xml:space="preserve">technique qui détient le code source).</w:t>
      </w:r>
    </w:p>
    <w:p>
      <w:pPr>
        <w:pStyle w:val="ListParagraph"/>
        <w:numPr>
          <w:ilvl w:val="0"/>
          <w:numId w:val="1"/>
        </w:numPr>
      </w:pPr>
      <w:r>
        <w:t xml:space="preserve">Les éléments à remplacer sont entre chevrons : </w:t>
      </w:r>
      <w:r>
        <w:rPr>
          <w:rStyle w:val="CodeCar"/>
        </w:rPr>
        <w:t xml:space="preserve">&lt;alias-ssh&gt;</w:t>
      </w:r>
      <w:r>
        <w:t xml:space="preserve">, </w:t>
      </w:r>
      <w:r>
        <w:rPr>
          <w:rStyle w:val="CodeCar"/>
        </w:rPr>
        <w:t xml:space="preserve">&lt;horodatage&gt;</w:t>
      </w:r>
      <w:r>
        <w:t xml:space="preserve">.</w:t>
      </w:r>
    </w:p>
    <w:p>
      <w:pPr>
        <w:pStyle w:val="ListParagraph"/>
        <w:numPr>
          <w:ilvl w:val="0"/>
          <w:numId w:val="1"/>
        </w:numPr>
      </w:pPr>
      <w:r>
        <w:t xml:space="preserve">Les exemples utilisent l'adresse fictive </w:t>
      </w:r>
      <w:r>
        <w:rPr>
          <w:rStyle w:val="CodeCar"/>
        </w:rPr>
        <w:t xml:space="preserve">read.example.org</w:t>
      </w:r>
      <w:r>
        <w:t xml:space="preserve">.</w:t>
      </w:r>
    </w:p>
    <w:p>
      <w:pPr>
        <w:pStyle w:val="ListParagraph"/>
        <w:numPr>
          <w:ilvl w:val="0"/>
          <w:numId w:val="1"/>
        </w:numPr>
      </w:pPr>
      <w:r>
        <w:t xml:space="preserve">Les sorties de commande reproduites sont des </w:t>
      </w:r>
      <w:r>
        <w:rPr>
          <w:b/>
        </w:rPr>
        <w:t xml:space="preserve">exemples</w:t>
      </w:r>
      <w:r>
        <w:t xml:space="preserve"> : les valeurs réelles diffèrent.</w:t>
      </w:r>
    </w:p>
    <w:tbl>
      <w:tblPr>
        <w:tblW w:w="5000" w:type="pct"/>
        <w:tblCellMar>
          <w:top w:w="100" w:type="dxa"/>
          <w:left w:w="200" w:type="dxa"/>
          <w:bottom w:w="60" w:type="dxa"/>
          <w:right w:w="200" w:type="dxa"/>
        </w:tblCellMar>
      </w:tblPr>
      <w:tr>
        <w:trPr>
          <w:cantSplit/>
        </w:trPr>
        <w:tc>
          <w:tcPr>
            <w:tcW w:w="5000" w:type="pct"/>
            <w:tcBorders>
              <w:left w:val="single" w:color="7A3FD1" w:sz="24"/>
            </w:tcBorders>
            <w:shd w:val="clear" w:color="auto" w:fill="F4EFFC"/>
          </w:tcPr>
          <w:p>
            <w:pPr>
              <w:pStyle w:val="Encadre"/>
            </w:pPr>
            <w:r>
              <w:rPr>
                <w:b/>
                <w:color w:val="7A3FD1"/>
              </w:rPr>
              <w:t xml:space="preserve">Important</w:t>
            </w:r>
          </w:p>
          <w:p>
            <w:pPr>
              <w:pStyle w:val="Encadre"/>
            </w:pPr>
            <w:r>
              <w:t xml:space="preserve">Le fichier de réglages du serveur, </w:t>
            </w:r>
            <w:r>
              <w:rPr>
                <w:rStyle w:val="CodeCar"/>
              </w:rPr>
              <w:t xml:space="preserve">/opt/read/.env</w:t>
            </w:r>
            <w:r>
              <w:t xml:space="preserve">, contient tous les secrets de la plateforme (mots de passe de la</w:t>
            </w:r>
            <w:r>
              <w:t xml:space="preserve"> </w:t>
            </w:r>
            <w:r>
              <w:t xml:space="preserve">base, de l'administrateur initial, du serveur de messagerie, de la copie hors serveur). Il ne doit jamais être copié</w:t>
            </w:r>
            <w:r>
              <w:t xml:space="preserve"> </w:t>
            </w:r>
            <w:r>
              <w:t xml:space="preserve">dans un ticket, un e-mail ou le dépôt de code.</w:t>
            </w:r>
          </w:p>
        </w:tc>
      </w:tr>
    </w:tbl>
    <w:p>
      <w:pPr>
        <w:spacing w:before="0" w:after="0"/>
      </w:pPr>
    </w:p>
    <w:p>
      <w:pPr>
        <w:pStyle w:val="Surtitre"/>
      </w:pPr>
      <w:r>
        <w:t xml:space="preserve">CHAPITRE 1</w:t>
      </w:r>
    </w:p>
    <w:p>
      <w:pPr>
        <w:pStyle w:val="Heading1"/>
      </w:pPr>
      <w:bookmarkStart w:name="_s5" w:id="5"/>
      <w:r>
        <w:t xml:space="preserve">Architecture</w:t>
      </w:r>
      <w:bookmarkEnd w:id="5"/>
    </w:p>
    <w:p>
      <w:pPr>
        <w:pStyle w:val="Chapeau"/>
      </w:pPr>
      <w:r>
        <w:t xml:space="preserve">Les composants de la plateforme, les conteneurs qui les portent, les volumes de données et les flux réseau.</w:t>
      </w:r>
    </w:p>
    <w:p>
      <w:pPr>
        <w:pStyle w:val="Note"/>
      </w:pPr>
      <w:r>
        <w:t xml:space="preserve">Concerne : </w:t>
      </w:r>
      <w:r>
        <w:rPr>
          <w:b/>
        </w:rPr>
        <w:t xml:space="preserve">Équipe technique · Hébergeur</w:t>
      </w:r>
    </w:p>
    <w:p>
      <w:pPr/>
      <w:r>
        <w:t xml:space="preserve">La plateforme READ est une application web unique (un « monolithe modulaire »), livrée en conteneurs Docker et</w:t>
      </w:r>
      <w:r>
        <w:t xml:space="preserve"> </w:t>
      </w:r>
      <w:r>
        <w:t xml:space="preserve">orchestrée par Docker Compose sur un seul serveur.</w:t>
      </w:r>
    </w:p>
    <w:p>
      <w:pPr>
        <w:pStyle w:val="Figure"/>
      </w:pPr>
      <w:r>
        <w:drawing>
          <wp:inline xmlns:wp="http://schemas.openxmlformats.org/drawingml/2006/wordprocessingDrawing" distT="0" distB="0" distL="0" distR="0">
            <wp:extent cx="6120130" cy="3590476"/>
            <wp:effectExtent l="0" t="0" r="0" b="0"/>
            <wp:docPr id="1" name="Figure 1" descr="Architecture de déploiement de la platefor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 1"/>
                    <pic:cNvPicPr/>
                  </pic:nvPicPr>
                  <pic:blipFill>
                    <a:blip xmlns:r="http://schemas.openxmlformats.org/officeDocument/2006/relationships" r:embed="Rf1ac275416a444e4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590476"/>
                    </a:xfrm>
                    <a:prstGeom prst="rect">
                      <a:avLst/>
                    </a:prstGeom>
                    <a:ln w="9525">
                      <a:solidFill>
                        <a:srgbClr val="C9D1DD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rPr>
          <w:b/>
        </w:rPr>
        <w:t xml:space="preserve">Figure 1.1 — </w:t>
      </w:r>
      <w:r>
        <w:t xml:space="preserve">Architecture de déploiement de la plateforme</w:t>
      </w:r>
    </w:p>
    <w:p>
      <w:pPr>
        <w:pStyle w:val="Heading2"/>
      </w:pPr>
      <w:bookmarkStart w:name="_s6" w:id="6"/>
      <w:r>
        <w:rPr>
          <w:color w:val="D9480F"/>
        </w:rPr>
        <w:t xml:space="preserve">1.1  </w:t>
      </w:r>
      <w:r>
        <w:t xml:space="preserve">Composants logiciels</w:t>
      </w:r>
      <w:bookmarkEnd w:id="6"/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Application web</w:t>
      </w:r>
      <w:r>
        <w:t xml:space="preserve"> en .NET 10 (Blazor, rendu côté serveur) : pages légères, peu de JavaScript (graphiques,</w:t>
      </w:r>
      <w:r>
        <w:t xml:space="preserve"> </w:t>
      </w:r>
      <w:r>
        <w:t xml:space="preserve">calendrier, grille de saisie). Elle sert le site des comptes connectés (</w:t>
      </w:r>
      <w:r>
        <w:rPr>
          <w:rStyle w:val="CodeCar"/>
        </w:rPr>
        <w:t xml:space="preserve">/admin</w:t>
      </w:r>
      <w:r>
        <w:t xml:space="preserve">, </w:t>
      </w:r>
      <w:r>
        <w:rPr>
          <w:rStyle w:val="CodeCar"/>
        </w:rPr>
        <w:t xml:space="preserve">/espace</w:t>
      </w:r>
      <w:r>
        <w:t xml:space="preserve">), le portail public</w:t>
      </w:r>
      <w:r>
        <w:t xml:space="preserve"> </w:t>
      </w:r>
      <w:r>
        <w:t xml:space="preserve">(</w:t>
      </w:r>
      <w:r>
        <w:rPr>
          <w:rStyle w:val="CodeCar"/>
        </w:rPr>
        <w:t xml:space="preserve">/</w:t>
      </w:r>
      <w:r>
        <w:t xml:space="preserve">) et l'API (</w:t>
      </w:r>
      <w:r>
        <w:rPr>
          <w:rStyle w:val="CodeCar"/>
        </w:rPr>
        <w:t xml:space="preserve">/api/v1</w:t>
      </w:r>
      <w:r>
        <w:t xml:space="preserve">).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Module hors ligne</w:t>
      </w:r>
      <w:r>
        <w:t xml:space="preserve"> (</w:t>
      </w:r>
      <w:r>
        <w:rPr>
          <w:rStyle w:val="CodeCar"/>
        </w:rPr>
        <w:t xml:space="preserve">/terrain/</w:t>
      </w:r>
      <w:r>
        <w:t xml:space="preserve">) : application WebAssembly installable sur un téléphone (PWA). Elle est servie</w:t>
      </w:r>
      <w:r>
        <w:t xml:space="preserve"> </w:t>
      </w:r>
      <w:r>
        <w:t xml:space="preserve">par la même application et dialogue avec la plateforme par l'API, au moyen de jetons.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Base de données</w:t>
      </w:r>
      <w:r>
        <w:t xml:space="preserve"> PostgreSQL 16. Les dates y sont enregistrées en UTC et affichées à l'heure de Niamey ; les</w:t>
      </w:r>
      <w:r>
        <w:t xml:space="preserve"> </w:t>
      </w:r>
      <w:r>
        <w:t xml:space="preserve">montants sont en FCFA sans décimale.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Relais HTTPS</w:t>
      </w:r>
      <w:r>
        <w:t xml:space="preserve"> Caddy : il obtient et renouvelle automatiquement le certificat (Let's Encrypt), ajoute les en-têtes de</w:t>
      </w:r>
      <w:r>
        <w:t xml:space="preserve"> </w:t>
      </w:r>
      <w:r>
        <w:t xml:space="preserve">sécurité, compresse les réponses et transmet les requêtes à l'application.</w:t>
      </w:r>
    </w:p>
    <w:p>
      <w:pPr/>
      <w:r>
        <w:t xml:space="preserve">Chaque écriture en base produit une ligne du </w:t>
      </w:r>
      <w:r>
        <w:rPr>
          <w:b/>
        </w:rPr>
        <w:t xml:space="preserve">journal d'audit</w:t>
      </w:r>
      <w:r>
        <w:t xml:space="preserve"> (anciennes et nouvelles valeurs), dans la même</w:t>
      </w:r>
      <w:r>
        <w:t xml:space="preserve"> </w:t>
      </w:r>
      <w:r>
        <w:t xml:space="preserve">transaction. Le journal est en ajout seul : l'application n'a pas le droit de le modifier ni de le vider.</w:t>
      </w:r>
    </w:p>
    <w:p>
      <w:pPr>
        <w:pStyle w:val="Heading2"/>
      </w:pPr>
      <w:bookmarkStart w:name="_s7" w:id="7"/>
      <w:r>
        <w:rPr>
          <w:color w:val="D9480F"/>
        </w:rPr>
        <w:t xml:space="preserve">1.2  </w:t>
      </w:r>
      <w:r>
        <w:t xml:space="preserve">Conteneurs</w:t>
      </w:r>
      <w:bookmarkEnd w:id="7"/>
    </w:p>
    <w:p>
      <w:pPr/>
      <w:r>
        <w:t xml:space="preserve">Le projet Compose s'appelle toujours </w:t>
      </w:r>
      <w:r>
        <w:rPr>
          <w:rStyle w:val="CodeCar"/>
        </w:rPr>
        <w:t xml:space="preserve">read-plateforme</w:t>
      </w:r>
      <w:r>
        <w:t xml:space="preserve"> (fixé dans </w:t>
      </w:r>
      <w:r>
        <w:rPr>
          <w:rStyle w:val="CodeCar"/>
        </w:rPr>
        <w:t xml:space="preserve">compose.yaml</w:t>
      </w:r>
      <w:r>
        <w:t xml:space="preserve">), quel que soit le dossier où se trouve</w:t>
      </w:r>
      <w:r>
        <w:t xml:space="preserve"> </w:t>
      </w:r>
      <w:r>
        <w:t xml:space="preserve">le code. Les conteneurs portent donc des noms comme </w:t>
      </w:r>
      <w:r>
        <w:rPr>
          <w:rStyle w:val="CodeCar"/>
        </w:rPr>
        <w:t xml:space="preserve">read-plateforme-app-1</w:t>
      </w:r>
      <w:r>
        <w:t xml:space="preserve">.</w:t>
      </w:r>
    </w:p>
    <w:tbl>
      <w:tblPr>
        <w:tblW w:w="5000" w:type="pct"/>
        <w:tblBorders>
          <w:top w:val="single" w:color="DFE4EC" w:sz="4"/>
          <w:bottom w:val="single" w:color="DFE4EC" w:sz="4"/>
          <w:left w:val="nil"/>
          <w:right w:val="nil"/>
          <w:insideH w:val="single" w:color="DFE4EC" w:sz="4"/>
          <w:insideV w:val="nil"/>
        </w:tblBorders>
        <w:tblLayout w:type="fixed"/>
        <w:tblCellMar>
          <w:top w:w="50" w:type="dxa"/>
          <w:left w:w="100" w:type="dxa"/>
          <w:bottom w:w="50" w:type="dxa"/>
          <w:right w:w="100" w:type="dxa"/>
        </w:tblCellMar>
      </w:tblPr>
      <w:tblGrid>
        <w:gridCol w:w="1386"/>
        <w:gridCol w:w="3050"/>
        <w:gridCol w:w="5200"/>
      </w:tblGrid>
      <w:tr>
        <w:trPr>
          <w:cantSplit/>
          <w:tblHeader/>
        </w:trPr>
        <w:tc>
          <w:tcPr>
            <w:tcW w:w="1386" w:type="dxa"/>
            <w:shd w:val="clear" w:color="auto" w:fill="F4F6FA"/>
          </w:tcPr>
          <w:p>
            <w:pPr>
              <w:pStyle w:val="Tableau"/>
            </w:pPr>
            <w:r>
              <w:rPr>
                <w:b/>
              </w:rPr>
              <w:t xml:space="preserve">Service</w:t>
            </w:r>
          </w:p>
        </w:tc>
        <w:tc>
          <w:tcPr>
            <w:tcW w:w="3050" w:type="dxa"/>
            <w:shd w:val="clear" w:color="auto" w:fill="F4F6FA"/>
          </w:tcPr>
          <w:p>
            <w:pPr>
              <w:pStyle w:val="Tableau"/>
            </w:pPr>
            <w:r>
              <w:rPr>
                <w:b/>
              </w:rPr>
              <w:t xml:space="preserve">Image</w:t>
            </w:r>
          </w:p>
        </w:tc>
        <w:tc>
          <w:tcPr>
            <w:tcW w:w="5200" w:type="dxa"/>
            <w:shd w:val="clear" w:color="auto" w:fill="F4F6FA"/>
          </w:tcPr>
          <w:p>
            <w:pPr>
              <w:pStyle w:val="Tableau"/>
            </w:pPr>
            <w:r>
              <w:rPr>
                <w:b/>
              </w:rPr>
              <w:t xml:space="preserve">Rôle</w:t>
            </w:r>
          </w:p>
        </w:tc>
      </w:tr>
      <w:tr>
        <w:trPr>
          <w:cantSplit/>
        </w:trPr>
        <w:tc>
          <w:tcPr>
            <w:tcW w:w="1386" w:type="dxa"/>
          </w:tcPr>
          <w:p>
            <w:pPr>
              <w:pStyle w:val="Tableau"/>
            </w:pPr>
            <w:r>
              <w:rPr>
                <w:rStyle w:val="CodeCar"/>
              </w:rPr>
              <w:t xml:space="preserve">db</w:t>
            </w:r>
          </w:p>
        </w:tc>
        <w:tc>
          <w:tcPr>
            <w:tcW w:w="3050" w:type="dxa"/>
          </w:tcPr>
          <w:p>
            <w:pPr>
              <w:pStyle w:val="Tableau"/>
            </w:pPr>
            <w:r>
              <w:rPr>
                <w:rStyle w:val="CodeCar"/>
              </w:rPr>
              <w:t xml:space="preserve">postgres:16.15-alpine</w:t>
            </w:r>
          </w:p>
        </w:tc>
        <w:tc>
          <w:tcPr>
            <w:tcW w:w="5200" w:type="dxa"/>
          </w:tcPr>
          <w:p>
            <w:pPr>
              <w:pStyle w:val="Tableau"/>
            </w:pPr>
            <w:r>
              <w:t xml:space="preserve">Base de données ; port non publié sur l'hôte</w:t>
            </w:r>
          </w:p>
        </w:tc>
      </w:tr>
      <w:tr>
        <w:trPr>
          <w:cantSplit/>
        </w:trPr>
        <w:tc>
          <w:tcPr>
            <w:tcW w:w="1386" w:type="dxa"/>
          </w:tcPr>
          <w:p>
            <w:pPr>
              <w:pStyle w:val="Tableau"/>
            </w:pPr>
            <w:r>
              <w:rPr>
                <w:rStyle w:val="CodeCar"/>
              </w:rPr>
              <w:t xml:space="preserve">migrations</w:t>
            </w:r>
          </w:p>
        </w:tc>
        <w:tc>
          <w:tcPr>
            <w:tcW w:w="3050" w:type="dxa"/>
          </w:tcPr>
          <w:p>
            <w:pPr>
              <w:pStyle w:val="Tableau"/>
            </w:pPr>
            <w:r>
              <w:rPr>
                <w:rStyle w:val="CodeCar"/>
              </w:rPr>
              <w:t xml:space="preserve">read-plateforme:latest</w:t>
            </w:r>
          </w:p>
        </w:tc>
        <w:tc>
          <w:tcPr>
            <w:tcW w:w="5200" w:type="dxa"/>
          </w:tcPr>
          <w:p>
            <w:pPr>
              <w:pStyle w:val="Tableau"/>
            </w:pPr>
            <w:r>
              <w:t xml:space="preserve">Lancé à chaque </w:t>
            </w:r>
            <w:r>
              <w:rPr>
                <w:rStyle w:val="CodeCar"/>
              </w:rPr>
              <w:t xml:space="preserve">docker compose up</w:t>
            </w:r>
            <w:r>
              <w:t xml:space="preserve">, puis arrêté : applique les migrations du schéma avec le compte propriétaire et crée ou met à jour le rôle restreint de l'application</w:t>
            </w:r>
          </w:p>
        </w:tc>
      </w:tr>
      <w:tr>
        <w:trPr>
          <w:cantSplit/>
        </w:trPr>
        <w:tc>
          <w:tcPr>
            <w:tcW w:w="1386" w:type="dxa"/>
          </w:tcPr>
          <w:p>
            <w:pPr>
              <w:pStyle w:val="Tableau"/>
            </w:pPr>
            <w:r>
              <w:rPr>
                <w:rStyle w:val="CodeCar"/>
              </w:rPr>
              <w:t xml:space="preserve">app</w:t>
            </w:r>
          </w:p>
        </w:tc>
        <w:tc>
          <w:tcPr>
            <w:tcW w:w="3050" w:type="dxa"/>
          </w:tcPr>
          <w:p>
            <w:pPr>
              <w:pStyle w:val="Tableau"/>
            </w:pPr>
            <w:r>
              <w:rPr>
                <w:rStyle w:val="CodeCar"/>
              </w:rPr>
              <w:t xml:space="preserve">read-plateforme:latest</w:t>
            </w:r>
          </w:p>
        </w:tc>
        <w:tc>
          <w:tcPr>
            <w:tcW w:w="5200" w:type="dxa"/>
          </w:tcPr>
          <w:p>
            <w:pPr>
              <w:pStyle w:val="Tableau"/>
            </w:pPr>
            <w:r>
              <w:t xml:space="preserve">Application, port 8080 interne ; se connecte avec le rôle restreint</w:t>
            </w:r>
          </w:p>
        </w:tc>
      </w:tr>
      <w:tr>
        <w:trPr>
          <w:cantSplit/>
        </w:trPr>
        <w:tc>
          <w:tcPr>
            <w:tcW w:w="1386" w:type="dxa"/>
          </w:tcPr>
          <w:p>
            <w:pPr>
              <w:pStyle w:val="Tableau"/>
            </w:pPr>
            <w:r>
              <w:rPr>
                <w:rStyle w:val="CodeCar"/>
              </w:rPr>
              <w:t xml:space="preserve">caddy</w:t>
            </w:r>
          </w:p>
        </w:tc>
        <w:tc>
          <w:tcPr>
            <w:tcW w:w="3050" w:type="dxa"/>
          </w:tcPr>
          <w:p>
            <w:pPr>
              <w:pStyle w:val="Tableau"/>
            </w:pPr>
            <w:r>
              <w:rPr>
                <w:rStyle w:val="CodeCar"/>
              </w:rPr>
              <w:t xml:space="preserve">caddy:2.11.7-alpine</w:t>
            </w:r>
          </w:p>
        </w:tc>
        <w:tc>
          <w:tcPr>
            <w:tcW w:w="5200" w:type="dxa"/>
          </w:tcPr>
          <w:p>
            <w:pPr>
              <w:pStyle w:val="Tableau"/>
            </w:pPr>
            <w:r>
              <w:t xml:space="preserve">Seul service exposé : ports 80 et 443 (TCP, et UDP pour HTTP/3)</w:t>
            </w:r>
          </w:p>
        </w:tc>
      </w:tr>
    </w:tbl>
    <w:p>
      <w:pPr>
        <w:spacing w:before="0" w:after="0"/>
      </w:pPr>
    </w:p>
    <w:p>
      <w:pPr/>
      <w:r>
        <w:t xml:space="preserve">L'image </w:t>
      </w:r>
      <w:r>
        <w:rPr>
          <w:rStyle w:val="CodeCar"/>
        </w:rPr>
        <w:t xml:space="preserve">read-plateforme:latest</w:t>
      </w:r>
      <w:r>
        <w:t xml:space="preserve"> est construite sur le serveur à partir du code source (</w:t>
      </w:r>
      <w:r>
        <w:rPr>
          <w:rStyle w:val="CodeCar"/>
        </w:rPr>
        <w:t xml:space="preserve">Dockerfile</w:t>
      </w:r>
      <w:r>
        <w:t xml:space="preserve">) : aucun registre</w:t>
      </w:r>
      <w:r>
        <w:t xml:space="preserve"> </w:t>
      </w:r>
      <w:r>
        <w:t xml:space="preserve">d'images n'est nécessaire.</w:t>
      </w:r>
    </w:p>
    <w:tbl>
      <w:tblPr>
        <w:tblW w:w="5000" w:type="pct"/>
        <w:tblCellMar>
          <w:top w:w="100" w:type="dxa"/>
          <w:left w:w="200" w:type="dxa"/>
          <w:bottom w:w="60" w:type="dxa"/>
          <w:right w:w="200" w:type="dxa"/>
        </w:tblCellMar>
      </w:tblPr>
      <w:tr>
        <w:trPr>
          <w:cantSplit/>
        </w:trPr>
        <w:tc>
          <w:tcPr>
            <w:tcW w:w="5000" w:type="pct"/>
            <w:tcBorders>
              <w:left w:val="single" w:color="0D5BD7" w:sz="24"/>
            </w:tcBorders>
            <w:shd w:val="clear" w:color="auto" w:fill="EEF4FF"/>
          </w:tcPr>
          <w:p>
            <w:pPr>
              <w:pStyle w:val="Encadre"/>
            </w:pPr>
            <w:r>
              <w:rPr>
                <w:b/>
                <w:color w:val="0D5BD7"/>
              </w:rPr>
              <w:t xml:space="preserve">Remarque</w:t>
            </w:r>
          </w:p>
          <w:p>
            <w:pPr>
              <w:pStyle w:val="Encadre"/>
            </w:pPr>
            <w:r>
              <w:t xml:space="preserve">Au premier démarrage sur une base vide, le service </w:t>
            </w:r>
            <w:r>
              <w:rPr>
                <w:rStyle w:val="CodeCar"/>
              </w:rPr>
              <w:t xml:space="preserve">migrations</w:t>
            </w:r>
            <w:r>
              <w:t xml:space="preserve"> écrit dans son journal une erreur sur la table</w:t>
            </w:r>
            <w:r>
              <w:t xml:space="preserve"> </w:t>
            </w:r>
            <w:r>
              <w:rPr>
                <w:rStyle w:val="CodeCar"/>
              </w:rPr>
              <w:t xml:space="preserve">__EFMigrationsHistory</w:t>
            </w:r>
            <w:r>
              <w:t xml:space="preserve"> avant de la créer. Elle est normale.</w:t>
            </w:r>
          </w:p>
        </w:tc>
      </w:tr>
    </w:tbl>
    <w:p>
      <w:pPr>
        <w:spacing w:before="0" w:after="0"/>
      </w:pPr>
    </w:p>
    <w:p>
      <w:pPr>
        <w:pStyle w:val="Heading2"/>
      </w:pPr>
      <w:bookmarkStart w:name="_s8" w:id="8"/>
      <w:r>
        <w:rPr>
          <w:color w:val="D9480F"/>
        </w:rPr>
        <w:t xml:space="preserve">1.3  </w:t>
      </w:r>
      <w:r>
        <w:t xml:space="preserve">Volumes de données</w:t>
      </w:r>
      <w:bookmarkEnd w:id="8"/>
    </w:p>
    <w:tbl>
      <w:tblPr>
        <w:tblW w:w="5000" w:type="pct"/>
        <w:tblBorders>
          <w:top w:val="single" w:color="DFE4EC" w:sz="4"/>
          <w:bottom w:val="single" w:color="DFE4EC" w:sz="4"/>
          <w:left w:val="nil"/>
          <w:right w:val="nil"/>
          <w:insideH w:val="single" w:color="DFE4EC" w:sz="4"/>
          <w:insideV w:val="nil"/>
        </w:tblBorders>
        <w:tblLayout w:type="fixed"/>
        <w:tblCellMar>
          <w:top w:w="50" w:type="dxa"/>
          <w:left w:w="100" w:type="dxa"/>
          <w:bottom w:w="50" w:type="dxa"/>
          <w:right w:w="100" w:type="dxa"/>
        </w:tblCellMar>
      </w:tblPr>
      <w:tblGrid>
        <w:gridCol w:w="3156"/>
        <w:gridCol w:w="4227"/>
        <w:gridCol w:w="2254"/>
      </w:tblGrid>
      <w:tr>
        <w:trPr>
          <w:cantSplit/>
          <w:tblHeader/>
        </w:trPr>
        <w:tc>
          <w:tcPr>
            <w:tcW w:w="3156" w:type="dxa"/>
            <w:shd w:val="clear" w:color="auto" w:fill="F4F6FA"/>
          </w:tcPr>
          <w:p>
            <w:pPr>
              <w:pStyle w:val="Tableau"/>
            </w:pPr>
            <w:r>
              <w:rPr>
                <w:b/>
              </w:rPr>
              <w:t xml:space="preserve">Volume</w:t>
            </w:r>
          </w:p>
        </w:tc>
        <w:tc>
          <w:tcPr>
            <w:tcW w:w="4227" w:type="dxa"/>
            <w:shd w:val="clear" w:color="auto" w:fill="F4F6FA"/>
          </w:tcPr>
          <w:p>
            <w:pPr>
              <w:pStyle w:val="Tableau"/>
            </w:pPr>
            <w:r>
              <w:rPr>
                <w:b/>
              </w:rPr>
              <w:t xml:space="preserve">Contenu</w:t>
            </w:r>
          </w:p>
        </w:tc>
        <w:tc>
          <w:tcPr>
            <w:tcW w:w="2254" w:type="dxa"/>
            <w:shd w:val="clear" w:color="auto" w:fill="F4F6FA"/>
          </w:tcPr>
          <w:p>
            <w:pPr>
              <w:pStyle w:val="Tableau"/>
            </w:pPr>
            <w:r>
              <w:rPr>
                <w:b/>
              </w:rPr>
              <w:t xml:space="preserve">Sauvegardé</w:t>
            </w:r>
          </w:p>
        </w:tc>
      </w:tr>
      <w:tr>
        <w:trPr>
          <w:cantSplit/>
        </w:trPr>
        <w:tc>
          <w:tcPr>
            <w:tcW w:w="3156" w:type="dxa"/>
          </w:tcPr>
          <w:p>
            <w:pPr>
              <w:pStyle w:val="Tableau"/>
            </w:pPr>
            <w:r>
              <w:rPr>
                <w:rStyle w:val="CodeCar"/>
              </w:rPr>
              <w:t xml:space="preserve">read-plateforme_pgdata</w:t>
            </w:r>
          </w:p>
        </w:tc>
        <w:tc>
          <w:tcPr>
            <w:tcW w:w="4227" w:type="dxa"/>
          </w:tcPr>
          <w:p>
            <w:pPr>
              <w:pStyle w:val="Tableau"/>
            </w:pPr>
            <w:r>
              <w:t xml:space="preserve">Fichiers de la base PostgreSQL</w:t>
            </w:r>
          </w:p>
        </w:tc>
        <w:tc>
          <w:tcPr>
            <w:tcW w:w="2254" w:type="dxa"/>
          </w:tcPr>
          <w:p>
            <w:pPr>
              <w:pStyle w:val="Tableau"/>
            </w:pPr>
            <w:r>
              <w:t xml:space="preserve">Oui, par </w:t>
            </w:r>
            <w:r>
              <w:rPr>
                <w:rStyle w:val="CodeCar"/>
              </w:rPr>
              <w:t xml:space="preserve">pg_dump</w:t>
            </w:r>
          </w:p>
        </w:tc>
      </w:tr>
      <w:tr>
        <w:trPr>
          <w:cantSplit/>
        </w:trPr>
        <w:tc>
          <w:tcPr>
            <w:tcW w:w="3156" w:type="dxa"/>
          </w:tcPr>
          <w:p>
            <w:pPr>
              <w:pStyle w:val="Tableau"/>
            </w:pPr>
            <w:r>
              <w:rPr>
                <w:rStyle w:val="CodeCar"/>
              </w:rPr>
              <w:t xml:space="preserve">read-plateforme_app-donnees</w:t>
            </w:r>
          </w:p>
        </w:tc>
        <w:tc>
          <w:tcPr>
            <w:tcW w:w="4227" w:type="dxa"/>
          </w:tcPr>
          <w:p>
            <w:pPr>
              <w:pStyle w:val="Tableau"/>
            </w:pPr>
            <w:r>
              <w:t xml:space="preserve">Fichiers déposés : logo, pièces jointes, ressources de la bibliothèque, e-mails écrits localement (</w:t>
            </w:r>
            <w:r>
              <w:rPr>
                <w:rStyle w:val="CodeCar"/>
              </w:rPr>
              <w:t xml:space="preserve">boite-envoi/</w:t>
            </w:r>
            <w:r>
              <w:t xml:space="preserve">)</w:t>
            </w:r>
          </w:p>
        </w:tc>
        <w:tc>
          <w:tcPr>
            <w:tcW w:w="2254" w:type="dxa"/>
          </w:tcPr>
          <w:p>
            <w:pPr>
              <w:pStyle w:val="Tableau"/>
            </w:pPr>
            <w:r>
              <w:t xml:space="preserve">Oui</w:t>
            </w:r>
          </w:p>
        </w:tc>
      </w:tr>
      <w:tr>
        <w:trPr>
          <w:cantSplit/>
        </w:trPr>
        <w:tc>
          <w:tcPr>
            <w:tcW w:w="3156" w:type="dxa"/>
          </w:tcPr>
          <w:p>
            <w:pPr>
              <w:pStyle w:val="Tableau"/>
            </w:pPr>
            <w:r>
              <w:rPr>
                <w:rStyle w:val="CodeCar"/>
              </w:rPr>
              <w:t xml:space="preserve">read-plateforme_app-keys</w:t>
            </w:r>
          </w:p>
        </w:tc>
        <w:tc>
          <w:tcPr>
            <w:tcW w:w="4227" w:type="dxa"/>
          </w:tcPr>
          <w:p>
            <w:pPr>
              <w:pStyle w:val="Tableau"/>
            </w:pPr>
            <w:r>
              <w:t xml:space="preserve">Clés de protection des données (cookies de session, jetons)</w:t>
            </w:r>
          </w:p>
        </w:tc>
        <w:tc>
          <w:tcPr>
            <w:tcW w:w="2254" w:type="dxa"/>
          </w:tcPr>
          <w:p>
            <w:pPr>
              <w:pStyle w:val="Tableau"/>
            </w:pPr>
            <w:r>
              <w:t xml:space="preserve">Oui</w:t>
            </w:r>
          </w:p>
        </w:tc>
      </w:tr>
      <w:tr>
        <w:trPr>
          <w:cantSplit/>
        </w:trPr>
        <w:tc>
          <w:tcPr>
            <w:tcW w:w="3156" w:type="dxa"/>
          </w:tcPr>
          <w:p>
            <w:pPr>
              <w:pStyle w:val="Tableau"/>
            </w:pPr>
            <w:r>
              <w:rPr>
                <w:rStyle w:val="CodeCar"/>
              </w:rPr>
              <w:t xml:space="preserve">read-plateforme_app-logs</w:t>
            </w:r>
          </w:p>
        </w:tc>
        <w:tc>
          <w:tcPr>
            <w:tcW w:w="4227" w:type="dxa"/>
          </w:tcPr>
          <w:p>
            <w:pPr>
              <w:pStyle w:val="Tableau"/>
            </w:pPr>
            <w:r>
              <w:t xml:space="preserve">Journaux quotidiens de l'application, 30 jours</w:t>
            </w:r>
          </w:p>
        </w:tc>
        <w:tc>
          <w:tcPr>
            <w:tcW w:w="2254" w:type="dxa"/>
          </w:tcPr>
          <w:p>
            <w:pPr>
              <w:pStyle w:val="Tableau"/>
            </w:pPr>
            <w:r>
              <w:t xml:space="preserve">Non</w:t>
            </w:r>
          </w:p>
        </w:tc>
      </w:tr>
      <w:tr>
        <w:trPr>
          <w:cantSplit/>
        </w:trPr>
        <w:tc>
          <w:tcPr>
            <w:tcW w:w="3156" w:type="dxa"/>
          </w:tcPr>
          <w:p>
            <w:pPr>
              <w:pStyle w:val="Tableau"/>
            </w:pPr>
            <w:r>
              <w:rPr>
                <w:rStyle w:val="CodeCar"/>
              </w:rPr>
              <w:t xml:space="preserve">read-plateforme_caddy-data</w:t>
            </w:r>
          </w:p>
        </w:tc>
        <w:tc>
          <w:tcPr>
            <w:tcW w:w="4227" w:type="dxa"/>
          </w:tcPr>
          <w:p>
            <w:pPr>
              <w:pStyle w:val="Tableau"/>
            </w:pPr>
            <w:r>
              <w:t xml:space="preserve">Certificats HTTPS</w:t>
            </w:r>
          </w:p>
        </w:tc>
        <w:tc>
          <w:tcPr>
            <w:tcW w:w="2254" w:type="dxa"/>
          </w:tcPr>
          <w:p>
            <w:pPr>
              <w:pStyle w:val="Tableau"/>
            </w:pPr>
            <w:r>
              <w:t xml:space="preserve">Non (redemandés automatiquement)</w:t>
            </w:r>
          </w:p>
        </w:tc>
      </w:tr>
      <w:tr>
        <w:trPr>
          <w:cantSplit/>
        </w:trPr>
        <w:tc>
          <w:tcPr>
            <w:tcW w:w="3156" w:type="dxa"/>
          </w:tcPr>
          <w:p>
            <w:pPr>
              <w:pStyle w:val="Tableau"/>
            </w:pPr>
            <w:r>
              <w:rPr>
                <w:rStyle w:val="CodeCar"/>
              </w:rPr>
              <w:t xml:space="preserve">read-plateforme_caddy-config</w:t>
            </w:r>
          </w:p>
        </w:tc>
        <w:tc>
          <w:tcPr>
            <w:tcW w:w="4227" w:type="dxa"/>
          </w:tcPr>
          <w:p>
            <w:pPr>
              <w:pStyle w:val="Tableau"/>
            </w:pPr>
            <w:r>
              <w:t xml:space="preserve">État de Caddy</w:t>
            </w:r>
          </w:p>
        </w:tc>
        <w:tc>
          <w:tcPr>
            <w:tcW w:w="2254" w:type="dxa"/>
          </w:tcPr>
          <w:p>
            <w:pPr>
              <w:pStyle w:val="Tableau"/>
            </w:pPr>
            <w:r>
              <w:t xml:space="preserve">Non</w:t>
            </w:r>
          </w:p>
        </w:tc>
      </w:tr>
    </w:tbl>
    <w:p>
      <w:pPr>
        <w:spacing w:before="0" w:after="0"/>
      </w:pPr>
    </w:p>
    <w:tbl>
      <w:tblPr>
        <w:tblW w:w="5000" w:type="pct"/>
        <w:tblCellMar>
          <w:top w:w="100" w:type="dxa"/>
          <w:left w:w="200" w:type="dxa"/>
          <w:bottom w:w="60" w:type="dxa"/>
          <w:right w:w="200" w:type="dxa"/>
        </w:tblCellMar>
      </w:tblPr>
      <w:tr>
        <w:trPr>
          <w:cantSplit/>
        </w:trPr>
        <w:tc>
          <w:tcPr>
            <w:tcW w:w="5000" w:type="pct"/>
            <w:tcBorders>
              <w:left w:val="single" w:color="A15C00" w:sz="24"/>
            </w:tcBorders>
            <w:shd w:val="clear" w:color="auto" w:fill="FFF6E5"/>
          </w:tcPr>
          <w:p>
            <w:pPr>
              <w:pStyle w:val="Encadre"/>
            </w:pPr>
            <w:r>
              <w:rPr>
                <w:b/>
                <w:color w:val="A15C00"/>
              </w:rPr>
              <w:t xml:space="preserve">Attention</w:t>
            </w:r>
          </w:p>
          <w:p>
            <w:pPr>
              <w:pStyle w:val="Encadre"/>
            </w:pPr>
            <w:r>
              <w:t xml:space="preserve">Ne supprimez jamais les volumes </w:t>
            </w:r>
            <w:r>
              <w:rPr>
                <w:rStyle w:val="CodeCar"/>
              </w:rPr>
              <w:t xml:space="preserve">pgdata</w:t>
            </w:r>
            <w:r>
              <w:t xml:space="preserve">, </w:t>
            </w:r>
            <w:r>
              <w:rPr>
                <w:rStyle w:val="CodeCar"/>
              </w:rPr>
              <w:t xml:space="preserve">app-donnees</w:t>
            </w:r>
            <w:r>
              <w:t xml:space="preserve"> ou </w:t>
            </w:r>
            <w:r>
              <w:rPr>
                <w:rStyle w:val="CodeCar"/>
              </w:rPr>
              <w:t xml:space="preserve">app-keys</w:t>
            </w:r>
            <w:r>
              <w:t xml:space="preserve"> : </w:t>
            </w:r>
            <w:r>
              <w:rPr>
                <w:rStyle w:val="CodeCar"/>
              </w:rPr>
              <w:t xml:space="preserve">docker compose down -v</w:t>
            </w:r>
            <w:r>
              <w:t xml:space="preserve"> efface toutes les</w:t>
            </w:r>
            <w:r>
              <w:t xml:space="preserve"> </w:t>
            </w:r>
            <w:r>
              <w:t xml:space="preserve">données de la plateforme. Sans </w:t>
            </w:r>
            <w:r>
              <w:rPr>
                <w:rStyle w:val="CodeCar"/>
              </w:rPr>
              <w:t xml:space="preserve">app-keys</w:t>
            </w:r>
            <w:r>
              <w:t xml:space="preserve">, toutes les sessions et tous les jetons du module hors ligne deviennent</w:t>
            </w:r>
            <w:r>
              <w:t xml:space="preserve"> </w:t>
            </w:r>
            <w:r>
              <w:t xml:space="preserve">invalides (les utilisateurs doivent se reconnecter).</w:t>
            </w:r>
          </w:p>
        </w:tc>
      </w:tr>
    </w:tbl>
    <w:p>
      <w:pPr>
        <w:spacing w:before="0" w:after="0"/>
      </w:pPr>
    </w:p>
    <w:p>
      <w:pPr>
        <w:pStyle w:val="Heading2"/>
      </w:pPr>
      <w:bookmarkStart w:name="_s9" w:id="9"/>
      <w:r>
        <w:rPr>
          <w:color w:val="D9480F"/>
        </w:rPr>
        <w:t xml:space="preserve">1.4  </w:t>
      </w:r>
      <w:r>
        <w:t xml:space="preserve">Flux réseau</w:t>
      </w:r>
      <w:bookmarkEnd w:id="9"/>
    </w:p>
    <w:tbl>
      <w:tblPr>
        <w:tblW w:w="5000" w:type="pct"/>
        <w:tblBorders>
          <w:top w:val="single" w:color="DFE4EC" w:sz="4"/>
          <w:bottom w:val="single" w:color="DFE4EC" w:sz="4"/>
          <w:left w:val="nil"/>
          <w:right w:val="nil"/>
          <w:insideH w:val="single" w:color="DFE4EC" w:sz="4"/>
          <w:insideV w:val="nil"/>
        </w:tblBorders>
        <w:tblLayout w:type="fixed"/>
        <w:tblCellMar>
          <w:top w:w="50" w:type="dxa"/>
          <w:left w:w="100" w:type="dxa"/>
          <w:bottom w:w="50" w:type="dxa"/>
          <w:right w:w="100" w:type="dxa"/>
        </w:tblCellMar>
      </w:tblPr>
      <w:tblGrid>
        <w:gridCol w:w="869"/>
        <w:gridCol w:w="2095"/>
        <w:gridCol w:w="1319"/>
        <w:gridCol w:w="1629"/>
        <w:gridCol w:w="3724"/>
      </w:tblGrid>
      <w:tr>
        <w:trPr>
          <w:cantSplit/>
          <w:tblHeader/>
        </w:trPr>
        <w:tc>
          <w:tcPr>
            <w:tcW w:w="869" w:type="dxa"/>
            <w:shd w:val="clear" w:color="auto" w:fill="F4F6FA"/>
          </w:tcPr>
          <w:p>
            <w:pPr>
              <w:pStyle w:val="Tableau"/>
            </w:pPr>
            <w:r>
              <w:rPr>
                <w:b/>
              </w:rPr>
              <w:t xml:space="preserve">Sens</w:t>
            </w:r>
          </w:p>
        </w:tc>
        <w:tc>
          <w:tcPr>
            <w:tcW w:w="2095" w:type="dxa"/>
            <w:shd w:val="clear" w:color="auto" w:fill="F4F6FA"/>
          </w:tcPr>
          <w:p>
            <w:pPr>
              <w:pStyle w:val="Tableau"/>
            </w:pPr>
            <w:r>
              <w:rPr>
                <w:b/>
              </w:rPr>
              <w:t xml:space="preserve">Depuis</w:t>
            </w:r>
          </w:p>
        </w:tc>
        <w:tc>
          <w:tcPr>
            <w:tcW w:w="1319" w:type="dxa"/>
            <w:shd w:val="clear" w:color="auto" w:fill="F4F6FA"/>
          </w:tcPr>
          <w:p>
            <w:pPr>
              <w:pStyle w:val="Tableau"/>
            </w:pPr>
            <w:r>
              <w:rPr>
                <w:b/>
              </w:rPr>
              <w:t xml:space="preserve">Vers</w:t>
            </w:r>
          </w:p>
        </w:tc>
        <w:tc>
          <w:tcPr>
            <w:tcW w:w="1629" w:type="dxa"/>
            <w:shd w:val="clear" w:color="auto" w:fill="F4F6FA"/>
          </w:tcPr>
          <w:p>
            <w:pPr>
              <w:pStyle w:val="Tableau"/>
            </w:pPr>
            <w:r>
              <w:rPr>
                <w:b/>
              </w:rPr>
              <w:t xml:space="preserve">Port</w:t>
            </w:r>
          </w:p>
        </w:tc>
        <w:tc>
          <w:tcPr>
            <w:tcW w:w="3724" w:type="dxa"/>
            <w:shd w:val="clear" w:color="auto" w:fill="F4F6FA"/>
          </w:tcPr>
          <w:p>
            <w:pPr>
              <w:pStyle w:val="Tableau"/>
            </w:pPr>
            <w:r>
              <w:rPr>
                <w:b/>
              </w:rPr>
              <w:t xml:space="preserve">Usage</w:t>
            </w:r>
          </w:p>
        </w:tc>
      </w:tr>
      <w:tr>
        <w:trPr>
          <w:cantSplit/>
        </w:trPr>
        <w:tc>
          <w:tcPr>
            <w:tcW w:w="869" w:type="dxa"/>
          </w:tcPr>
          <w:p>
            <w:pPr>
              <w:pStyle w:val="Tableau"/>
            </w:pPr>
            <w:r>
              <w:t xml:space="preserve">Entrant</w:t>
            </w:r>
          </w:p>
        </w:tc>
        <w:tc>
          <w:tcPr>
            <w:tcW w:w="2095" w:type="dxa"/>
          </w:tcPr>
          <w:p>
            <w:pPr>
              <w:pStyle w:val="Tableau"/>
            </w:pPr>
            <w:r>
              <w:t xml:space="preserve">Internet</w:t>
            </w:r>
          </w:p>
        </w:tc>
        <w:tc>
          <w:tcPr>
            <w:tcW w:w="1319" w:type="dxa"/>
          </w:tcPr>
          <w:p>
            <w:pPr>
              <w:pStyle w:val="Tableau"/>
            </w:pPr>
            <w:r>
              <w:rPr>
                <w:rStyle w:val="CodeCar"/>
              </w:rPr>
              <w:t xml:space="preserve">caddy</w:t>
            </w:r>
          </w:p>
        </w:tc>
        <w:tc>
          <w:tcPr>
            <w:tcW w:w="1629" w:type="dxa"/>
          </w:tcPr>
          <w:p>
            <w:pPr>
              <w:pStyle w:val="Tableau"/>
            </w:pPr>
            <w:r>
              <w:t xml:space="preserve">80/TCP</w:t>
            </w:r>
          </w:p>
        </w:tc>
        <w:tc>
          <w:tcPr>
            <w:tcW w:w="3724" w:type="dxa"/>
          </w:tcPr>
          <w:p>
            <w:pPr>
              <w:pStyle w:val="Tableau"/>
            </w:pPr>
            <w:r>
              <w:t xml:space="preserve">Redirection vers HTTPS, validation du certificat</w:t>
            </w:r>
          </w:p>
        </w:tc>
      </w:tr>
      <w:tr>
        <w:trPr>
          <w:cantSplit/>
        </w:trPr>
        <w:tc>
          <w:tcPr>
            <w:tcW w:w="869" w:type="dxa"/>
          </w:tcPr>
          <w:p>
            <w:pPr>
              <w:pStyle w:val="Tableau"/>
            </w:pPr>
            <w:r>
              <w:t xml:space="preserve">Entrant</w:t>
            </w:r>
          </w:p>
        </w:tc>
        <w:tc>
          <w:tcPr>
            <w:tcW w:w="2095" w:type="dxa"/>
          </w:tcPr>
          <w:p>
            <w:pPr>
              <w:pStyle w:val="Tableau"/>
            </w:pPr>
            <w:r>
              <w:t xml:space="preserve">Internet</w:t>
            </w:r>
          </w:p>
        </w:tc>
        <w:tc>
          <w:tcPr>
            <w:tcW w:w="1319" w:type="dxa"/>
          </w:tcPr>
          <w:p>
            <w:pPr>
              <w:pStyle w:val="Tableau"/>
            </w:pPr>
            <w:r>
              <w:rPr>
                <w:rStyle w:val="CodeCar"/>
              </w:rPr>
              <w:t xml:space="preserve">caddy</w:t>
            </w:r>
          </w:p>
        </w:tc>
        <w:tc>
          <w:tcPr>
            <w:tcW w:w="1629" w:type="dxa"/>
          </w:tcPr>
          <w:p>
            <w:pPr>
              <w:pStyle w:val="Tableau"/>
            </w:pPr>
            <w:r>
              <w:t xml:space="preserve">443/TCP et 443/UDP</w:t>
            </w:r>
          </w:p>
        </w:tc>
        <w:tc>
          <w:tcPr>
            <w:tcW w:w="3724" w:type="dxa"/>
          </w:tcPr>
          <w:p>
            <w:pPr>
              <w:pStyle w:val="Tableau"/>
            </w:pPr>
            <w:r>
              <w:t xml:space="preserve">Site, portail, API, module hors ligne</w:t>
            </w:r>
          </w:p>
        </w:tc>
      </w:tr>
      <w:tr>
        <w:trPr>
          <w:cantSplit/>
        </w:trPr>
        <w:tc>
          <w:tcPr>
            <w:tcW w:w="869" w:type="dxa"/>
          </w:tcPr>
          <w:p>
            <w:pPr>
              <w:pStyle w:val="Tableau"/>
            </w:pPr>
            <w:r>
              <w:t xml:space="preserve">Entrant</w:t>
            </w:r>
          </w:p>
        </w:tc>
        <w:tc>
          <w:tcPr>
            <w:tcW w:w="2095" w:type="dxa"/>
          </w:tcPr>
          <w:p>
            <w:pPr>
              <w:pStyle w:val="Tableau"/>
            </w:pPr>
            <w:r>
              <w:t xml:space="preserve">Poste de l'équipe technique</w:t>
            </w:r>
          </w:p>
        </w:tc>
        <w:tc>
          <w:tcPr>
            <w:tcW w:w="1319" w:type="dxa"/>
          </w:tcPr>
          <w:p>
            <w:pPr>
              <w:pStyle w:val="Tableau"/>
            </w:pPr>
            <w:r>
              <w:t xml:space="preserve">Serveur</w:t>
            </w:r>
          </w:p>
        </w:tc>
        <w:tc>
          <w:tcPr>
            <w:tcW w:w="1629" w:type="dxa"/>
          </w:tcPr>
          <w:p>
            <w:pPr>
              <w:pStyle w:val="Tableau"/>
            </w:pPr>
            <w:r>
              <w:t xml:space="preserve">22/TCP</w:t>
            </w:r>
          </w:p>
        </w:tc>
        <w:tc>
          <w:tcPr>
            <w:tcW w:w="3724" w:type="dxa"/>
          </w:tcPr>
          <w:p>
            <w:pPr>
              <w:pStyle w:val="Tableau"/>
            </w:pPr>
            <w:r>
              <w:t xml:space="preserve">SSH (déploiement, exploitation)</w:t>
            </w:r>
          </w:p>
        </w:tc>
      </w:tr>
      <w:tr>
        <w:trPr>
          <w:cantSplit/>
        </w:trPr>
        <w:tc>
          <w:tcPr>
            <w:tcW w:w="869" w:type="dxa"/>
          </w:tcPr>
          <w:p>
            <w:pPr>
              <w:pStyle w:val="Tableau"/>
            </w:pPr>
            <w:r>
              <w:t xml:space="preserve">Interne</w:t>
            </w:r>
          </w:p>
        </w:tc>
        <w:tc>
          <w:tcPr>
            <w:tcW w:w="2095" w:type="dxa"/>
          </w:tcPr>
          <w:p>
            <w:pPr>
              <w:pStyle w:val="Tableau"/>
            </w:pPr>
            <w:r>
              <w:rPr>
                <w:rStyle w:val="CodeCar"/>
              </w:rPr>
              <w:t xml:space="preserve">caddy</w:t>
            </w:r>
          </w:p>
        </w:tc>
        <w:tc>
          <w:tcPr>
            <w:tcW w:w="1319" w:type="dxa"/>
          </w:tcPr>
          <w:p>
            <w:pPr>
              <w:pStyle w:val="Tableau"/>
            </w:pPr>
            <w:r>
              <w:rPr>
                <w:rStyle w:val="CodeCar"/>
              </w:rPr>
              <w:t xml:space="preserve">app</w:t>
            </w:r>
          </w:p>
        </w:tc>
        <w:tc>
          <w:tcPr>
            <w:tcW w:w="1629" w:type="dxa"/>
          </w:tcPr>
          <w:p>
            <w:pPr>
              <w:pStyle w:val="Tableau"/>
            </w:pPr>
            <w:r>
              <w:t xml:space="preserve">8080</w:t>
            </w:r>
          </w:p>
        </w:tc>
        <w:tc>
          <w:tcPr>
            <w:tcW w:w="3724" w:type="dxa"/>
          </w:tcPr>
          <w:p>
            <w:pPr>
              <w:pStyle w:val="Tableau"/>
            </w:pPr>
            <w:r>
              <w:t xml:space="preserve">Relais HTTP sur le réseau Docker</w:t>
            </w:r>
          </w:p>
        </w:tc>
      </w:tr>
      <w:tr>
        <w:trPr>
          <w:cantSplit/>
        </w:trPr>
        <w:tc>
          <w:tcPr>
            <w:tcW w:w="869" w:type="dxa"/>
          </w:tcPr>
          <w:p>
            <w:pPr>
              <w:pStyle w:val="Tableau"/>
            </w:pPr>
            <w:r>
              <w:t xml:space="preserve">Interne</w:t>
            </w:r>
          </w:p>
        </w:tc>
        <w:tc>
          <w:tcPr>
            <w:tcW w:w="2095" w:type="dxa"/>
          </w:tcPr>
          <w:p>
            <w:pPr>
              <w:pStyle w:val="Tableau"/>
            </w:pPr>
            <w:r>
              <w:rPr>
                <w:rStyle w:val="CodeCar"/>
              </w:rPr>
              <w:t xml:space="preserve">app</w:t>
            </w:r>
            <w:r>
              <w:t xml:space="preserve">, </w:t>
            </w:r>
            <w:r>
              <w:rPr>
                <w:rStyle w:val="CodeCar"/>
              </w:rPr>
              <w:t xml:space="preserve">migrations</w:t>
            </w:r>
          </w:p>
        </w:tc>
        <w:tc>
          <w:tcPr>
            <w:tcW w:w="1319" w:type="dxa"/>
          </w:tcPr>
          <w:p>
            <w:pPr>
              <w:pStyle w:val="Tableau"/>
            </w:pPr>
            <w:r>
              <w:rPr>
                <w:rStyle w:val="CodeCar"/>
              </w:rPr>
              <w:t xml:space="preserve">db</w:t>
            </w:r>
          </w:p>
        </w:tc>
        <w:tc>
          <w:tcPr>
            <w:tcW w:w="1629" w:type="dxa"/>
          </w:tcPr>
          <w:p>
            <w:pPr>
              <w:pStyle w:val="Tableau"/>
            </w:pPr>
            <w:r>
              <w:t xml:space="preserve">5432</w:t>
            </w:r>
          </w:p>
        </w:tc>
        <w:tc>
          <w:tcPr>
            <w:tcW w:w="3724" w:type="dxa"/>
          </w:tcPr>
          <w:p>
            <w:pPr>
              <w:pStyle w:val="Tableau"/>
            </w:pPr>
            <w:r>
              <w:t xml:space="preserve">Base de données</w:t>
            </w:r>
          </w:p>
        </w:tc>
      </w:tr>
      <w:tr>
        <w:trPr>
          <w:cantSplit/>
        </w:trPr>
        <w:tc>
          <w:tcPr>
            <w:tcW w:w="869" w:type="dxa"/>
          </w:tcPr>
          <w:p>
            <w:pPr>
              <w:pStyle w:val="Tableau"/>
            </w:pPr>
            <w:r>
              <w:t xml:space="preserve">Sortant</w:t>
            </w:r>
          </w:p>
        </w:tc>
        <w:tc>
          <w:tcPr>
            <w:tcW w:w="2095" w:type="dxa"/>
          </w:tcPr>
          <w:p>
            <w:pPr>
              <w:pStyle w:val="Tableau"/>
            </w:pPr>
            <w:r>
              <w:rPr>
                <w:rStyle w:val="CodeCar"/>
              </w:rPr>
              <w:t xml:space="preserve">caddy</w:t>
            </w:r>
          </w:p>
        </w:tc>
        <w:tc>
          <w:tcPr>
            <w:tcW w:w="1319" w:type="dxa"/>
          </w:tcPr>
          <w:p>
            <w:pPr>
              <w:pStyle w:val="Tableau"/>
            </w:pPr>
            <w:r>
              <w:t xml:space="preserve">Let's Encrypt</w:t>
            </w:r>
          </w:p>
        </w:tc>
        <w:tc>
          <w:tcPr>
            <w:tcW w:w="1629" w:type="dxa"/>
          </w:tcPr>
          <w:p>
            <w:pPr>
              <w:pStyle w:val="Tableau"/>
            </w:pPr>
            <w:r>
              <w:t xml:space="preserve">443</w:t>
            </w:r>
          </w:p>
        </w:tc>
        <w:tc>
          <w:tcPr>
            <w:tcW w:w="3724" w:type="dxa"/>
          </w:tcPr>
          <w:p>
            <w:pPr>
              <w:pStyle w:val="Tableau"/>
            </w:pPr>
            <w:r>
              <w:t xml:space="preserve">Obtention et renouvellement du certificat</w:t>
            </w:r>
          </w:p>
        </w:tc>
      </w:tr>
      <w:tr>
        <w:trPr>
          <w:cantSplit/>
        </w:trPr>
        <w:tc>
          <w:tcPr>
            <w:tcW w:w="869" w:type="dxa"/>
          </w:tcPr>
          <w:p>
            <w:pPr>
              <w:pStyle w:val="Tableau"/>
            </w:pPr>
            <w:r>
              <w:t xml:space="preserve">Sortant</w:t>
            </w:r>
          </w:p>
        </w:tc>
        <w:tc>
          <w:tcPr>
            <w:tcW w:w="2095" w:type="dxa"/>
          </w:tcPr>
          <w:p>
            <w:pPr>
              <w:pStyle w:val="Tableau"/>
            </w:pPr>
            <w:r>
              <w:rPr>
                <w:rStyle w:val="CodeCar"/>
              </w:rPr>
              <w:t xml:space="preserve">app</w:t>
            </w:r>
          </w:p>
        </w:tc>
        <w:tc>
          <w:tcPr>
            <w:tcW w:w="1319" w:type="dxa"/>
          </w:tcPr>
          <w:p>
            <w:pPr>
              <w:pStyle w:val="Tableau"/>
            </w:pPr>
            <w:r>
              <w:t xml:space="preserve">Serveur SMTP</w:t>
            </w:r>
          </w:p>
        </w:tc>
        <w:tc>
          <w:tcPr>
            <w:tcW w:w="1629" w:type="dxa"/>
          </w:tcPr>
          <w:p>
            <w:pPr>
              <w:pStyle w:val="Tableau"/>
            </w:pPr>
            <w:r>
              <w:t xml:space="preserve">587 ou 465 (réglable)</w:t>
            </w:r>
          </w:p>
        </w:tc>
        <w:tc>
          <w:tcPr>
            <w:tcW w:w="3724" w:type="dxa"/>
          </w:tcPr>
          <w:p>
            <w:pPr>
              <w:pStyle w:val="Tableau"/>
            </w:pPr>
            <w:r>
              <w:t xml:space="preserve">E-mails (mot de passe oublié, notifications)</w:t>
            </w:r>
          </w:p>
        </w:tc>
      </w:tr>
      <w:tr>
        <w:trPr>
          <w:cantSplit/>
        </w:trPr>
        <w:tc>
          <w:tcPr>
            <w:tcW w:w="869" w:type="dxa"/>
          </w:tcPr>
          <w:p>
            <w:pPr>
              <w:pStyle w:val="Tableau"/>
            </w:pPr>
            <w:r>
              <w:t xml:space="preserve">Sortant</w:t>
            </w:r>
          </w:p>
        </w:tc>
        <w:tc>
          <w:tcPr>
            <w:tcW w:w="2095" w:type="dxa"/>
          </w:tcPr>
          <w:p>
            <w:pPr>
              <w:pStyle w:val="Tableau"/>
            </w:pPr>
            <w:r>
              <w:t xml:space="preserve">Sauvegarde</w:t>
            </w:r>
          </w:p>
        </w:tc>
        <w:tc>
          <w:tcPr>
            <w:tcW w:w="1319" w:type="dxa"/>
          </w:tcPr>
          <w:p>
            <w:pPr>
              <w:pStyle w:val="Tableau"/>
            </w:pPr>
            <w:r>
              <w:t xml:space="preserve">Stockage objet S3</w:t>
            </w:r>
          </w:p>
        </w:tc>
        <w:tc>
          <w:tcPr>
            <w:tcW w:w="1629" w:type="dxa"/>
          </w:tcPr>
          <w:p>
            <w:pPr>
              <w:pStyle w:val="Tableau"/>
            </w:pPr>
            <w:r>
              <w:t xml:space="preserve">443</w:t>
            </w:r>
          </w:p>
        </w:tc>
        <w:tc>
          <w:tcPr>
            <w:tcW w:w="3724" w:type="dxa"/>
          </w:tcPr>
          <w:p>
            <w:pPr>
              <w:pStyle w:val="Tableau"/>
            </w:pPr>
            <w:r>
              <w:t xml:space="preserve">Copie chiffrée hors serveur</w:t>
            </w:r>
          </w:p>
        </w:tc>
      </w:tr>
    </w:tbl>
    <w:p>
      <w:pPr>
        <w:spacing w:before="0" w:after="0"/>
      </w:pPr>
    </w:p>
    <w:p>
      <w:pPr/>
      <w:r>
        <w:t xml:space="preserve">L'application ne croit l'adresse du client transmise par Caddy (en-tête </w:t>
      </w:r>
      <w:r>
        <w:rPr>
          <w:rStyle w:val="CodeCar"/>
        </w:rPr>
        <w:t xml:space="preserve">X-Forwarded-For</w:t>
      </w:r>
      <w:r>
        <w:t xml:space="preserve">) que si la requête vient d'un</w:t>
      </w:r>
      <w:r>
        <w:t xml:space="preserve"> </w:t>
      </w:r>
      <w:r>
        <w:t xml:space="preserve">réseau privé (réseau Docker) : la limitation des connexions et le journal d'audit voient la vraie adresse du visiteur.</w:t>
      </w:r>
    </w:p>
    <w:p>
      <w:pPr>
        <w:pStyle w:val="Heading2"/>
      </w:pPr>
      <w:bookmarkStart w:name="_s10" w:id="10"/>
      <w:r>
        <w:rPr>
          <w:color w:val="D9480F"/>
        </w:rPr>
        <w:t xml:space="preserve">1.5  </w:t>
      </w:r>
      <w:r>
        <w:t xml:space="preserve">Organisation du serveur</w:t>
      </w:r>
      <w:bookmarkEnd w:id="10"/>
    </w:p>
    <w:tbl>
      <w:tblPr>
        <w:tblW w:w="5000" w:type="pct"/>
        <w:tblBorders>
          <w:top w:val="single" w:color="DFE4EC" w:sz="4"/>
          <w:bottom w:val="single" w:color="DFE4EC" w:sz="4"/>
          <w:left w:val="nil"/>
          <w:right w:val="nil"/>
          <w:insideH w:val="single" w:color="DFE4EC" w:sz="4"/>
          <w:insideV w:val="nil"/>
        </w:tblBorders>
        <w:tblLayout w:type="fixed"/>
        <w:tblCellMar>
          <w:top w:w="50" w:type="dxa"/>
          <w:left w:w="100" w:type="dxa"/>
          <w:bottom w:w="50" w:type="dxa"/>
          <w:right w:w="100" w:type="dxa"/>
        </w:tblCellMar>
      </w:tblPr>
      <w:tblGrid>
        <w:gridCol w:w="4786"/>
        <w:gridCol w:w="4851"/>
      </w:tblGrid>
      <w:tr>
        <w:trPr>
          <w:cantSplit/>
          <w:tblHeader/>
        </w:trPr>
        <w:tc>
          <w:tcPr>
            <w:tcW w:w="4786" w:type="dxa"/>
            <w:shd w:val="clear" w:color="auto" w:fill="F4F6FA"/>
          </w:tcPr>
          <w:p>
            <w:pPr>
              <w:pStyle w:val="Tableau"/>
            </w:pPr>
            <w:r>
              <w:rPr>
                <w:b/>
              </w:rPr>
              <w:t xml:space="preserve">Emplacement</w:t>
            </w:r>
          </w:p>
        </w:tc>
        <w:tc>
          <w:tcPr>
            <w:tcW w:w="4851" w:type="dxa"/>
            <w:shd w:val="clear" w:color="auto" w:fill="F4F6FA"/>
          </w:tcPr>
          <w:p>
            <w:pPr>
              <w:pStyle w:val="Tableau"/>
            </w:pPr>
            <w:r>
              <w:rPr>
                <w:b/>
              </w:rPr>
              <w:t xml:space="preserve">Contenu</w:t>
            </w:r>
          </w:p>
        </w:tc>
      </w:tr>
      <w:tr>
        <w:trPr>
          <w:cantSplit/>
        </w:trPr>
        <w:tc>
          <w:tcPr>
            <w:tcW w:w="4786" w:type="dxa"/>
          </w:tcPr>
          <w:p>
            <w:pPr>
              <w:pStyle w:val="Tableau"/>
            </w:pPr>
            <w:r>
              <w:rPr>
                <w:rStyle w:val="CodeCar"/>
              </w:rPr>
              <w:t xml:space="preserve">/opt/read/.env</w:t>
            </w:r>
          </w:p>
        </w:tc>
        <w:tc>
          <w:tcPr>
            <w:tcW w:w="4851" w:type="dxa"/>
          </w:tcPr>
          <w:p>
            <w:pPr>
              <w:pStyle w:val="Tableau"/>
            </w:pPr>
            <w:r>
              <w:t xml:space="preserve">Réglages et secrets (droits 600) ; lié dans </w:t>
            </w:r>
            <w:r>
              <w:rPr>
                <w:rStyle w:val="CodeCar"/>
              </w:rPr>
              <w:t xml:space="preserve">code/deploy/.env</w:t>
            </w:r>
          </w:p>
        </w:tc>
      </w:tr>
      <w:tr>
        <w:trPr>
          <w:cantSplit/>
        </w:trPr>
        <w:tc>
          <w:tcPr>
            <w:tcW w:w="4786" w:type="dxa"/>
          </w:tcPr>
          <w:p>
            <w:pPr>
              <w:pStyle w:val="Tableau"/>
            </w:pPr>
            <w:r>
              <w:rPr>
                <w:rStyle w:val="CodeCar"/>
              </w:rPr>
              <w:t xml:space="preserve">/opt/read/code</w:t>
            </w:r>
          </w:p>
        </w:tc>
        <w:tc>
          <w:tcPr>
            <w:tcW w:w="4851" w:type="dxa"/>
          </w:tcPr>
          <w:p>
            <w:pPr>
              <w:pStyle w:val="Tableau"/>
            </w:pPr>
            <w:r>
              <w:t xml:space="preserve">Code de la version déployée ; fichier </w:t>
            </w:r>
            <w:r>
              <w:rPr>
                <w:rStyle w:val="CodeCar"/>
              </w:rPr>
              <w:t xml:space="preserve">VERSION</w:t>
            </w:r>
            <w:r>
              <w:t xml:space="preserve"> = commit</w:t>
            </w:r>
          </w:p>
        </w:tc>
      </w:tr>
      <w:tr>
        <w:trPr>
          <w:cantSplit/>
        </w:trPr>
        <w:tc>
          <w:tcPr>
            <w:tcW w:w="4786" w:type="dxa"/>
          </w:tcPr>
          <w:p>
            <w:pPr>
              <w:pStyle w:val="Tableau"/>
            </w:pPr>
            <w:r>
              <w:rPr>
                <w:rStyle w:val="CodeCar"/>
              </w:rPr>
              <w:t xml:space="preserve">/opt/read/code.ancien</w:t>
            </w:r>
          </w:p>
        </w:tc>
        <w:tc>
          <w:tcPr>
            <w:tcW w:w="4851" w:type="dxa"/>
          </w:tcPr>
          <w:p>
            <w:pPr>
              <w:pStyle w:val="Tableau"/>
            </w:pPr>
            <w:r>
              <w:t xml:space="preserve">Version précédente, pour un retour arrière</w:t>
            </w:r>
          </w:p>
        </w:tc>
      </w:tr>
      <w:tr>
        <w:trPr>
          <w:cantSplit/>
        </w:trPr>
        <w:tc>
          <w:tcPr>
            <w:tcW w:w="4786" w:type="dxa"/>
          </w:tcPr>
          <w:p>
            <w:pPr>
              <w:pStyle w:val="Tableau"/>
            </w:pPr>
            <w:r>
              <w:rPr>
                <w:rStyle w:val="CodeCar"/>
              </w:rPr>
              <w:t xml:space="preserve">/opt/read/deploiement.log</w:t>
            </w:r>
          </w:p>
        </w:tc>
        <w:tc>
          <w:tcPr>
            <w:tcW w:w="4851" w:type="dxa"/>
          </w:tcPr>
          <w:p>
            <w:pPr>
              <w:pStyle w:val="Tableau"/>
            </w:pPr>
            <w:r>
              <w:t xml:space="preserve">Compte rendu du dernier déploiement</w:t>
            </w:r>
          </w:p>
        </w:tc>
      </w:tr>
      <w:tr>
        <w:trPr>
          <w:cantSplit/>
        </w:trPr>
        <w:tc>
          <w:tcPr>
            <w:tcW w:w="4786" w:type="dxa"/>
          </w:tcPr>
          <w:p>
            <w:pPr>
              <w:pStyle w:val="Tableau"/>
            </w:pPr>
            <w:r>
              <w:rPr>
                <w:rStyle w:val="CodeCar"/>
              </w:rPr>
              <w:t xml:space="preserve">/var/backups/read</w:t>
            </w:r>
          </w:p>
        </w:tc>
        <w:tc>
          <w:tcPr>
            <w:tcW w:w="4851" w:type="dxa"/>
          </w:tcPr>
          <w:p>
            <w:pPr>
              <w:pStyle w:val="Tableau"/>
            </w:pPr>
            <w:r>
              <w:t xml:space="preserve">Sauvegardes locales, un dossier horodaté par jour</w:t>
            </w:r>
          </w:p>
        </w:tc>
      </w:tr>
      <w:tr>
        <w:trPr>
          <w:cantSplit/>
        </w:trPr>
        <w:tc>
          <w:tcPr>
            <w:tcW w:w="4786" w:type="dxa"/>
          </w:tcPr>
          <w:p>
            <w:pPr>
              <w:pStyle w:val="Tableau"/>
            </w:pPr>
            <w:r>
              <w:rPr>
                <w:rStyle w:val="CodeCar"/>
              </w:rPr>
              <w:t xml:space="preserve">/etc/systemd/system/read-sauvegarde.*</w:t>
            </w:r>
          </w:p>
        </w:tc>
        <w:tc>
          <w:tcPr>
            <w:tcW w:w="4851" w:type="dxa"/>
          </w:tcPr>
          <w:p>
            <w:pPr>
              <w:pStyle w:val="Tableau"/>
            </w:pPr>
            <w:r>
              <w:t xml:space="preserve">Minuteur de la sauvegarde quotidienne</w:t>
            </w:r>
          </w:p>
        </w:tc>
      </w:tr>
    </w:tbl>
    <w:p>
      <w:pPr>
        <w:spacing w:before="0" w:after="0"/>
      </w:pPr>
    </w:p>
    <w:p>
      <w:pPr>
        <w:pStyle w:val="Heading2"/>
      </w:pPr>
      <w:bookmarkStart w:name="_s11" w:id="11"/>
      <w:r>
        <w:rPr>
          <w:color w:val="D9480F"/>
        </w:rPr>
        <w:t xml:space="preserve">1.6  </w:t>
      </w:r>
      <w:r>
        <w:t xml:space="preserve">Tâches de fond</w:t>
      </w:r>
      <w:bookmarkEnd w:id="11"/>
    </w:p>
    <w:p>
      <w:pPr/>
      <w:r>
        <w:t xml:space="preserve">L'application exécute elle-même quelques tâches, sans planificateur externe :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chaque minute</w:t>
      </w:r>
      <w:r>
        <w:t xml:space="preserve"> : envoi des e-mails de notification en attente ;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chaque jour à partir de 7 h (heure de Niamey)</w:t>
      </w:r>
      <w:r>
        <w:t xml:space="preserve"> : rappels (activités et rapports en retard), puis suppression des</w:t>
      </w:r>
      <w:r>
        <w:t xml:space="preserve"> </w:t>
      </w:r>
      <w:r>
        <w:t xml:space="preserve">notifications de plus de 90 jours ;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chaque jour</w:t>
      </w:r>
      <w:r>
        <w:t xml:space="preserve"> (première passe cinq minutes après le démarrage) : suppression des listes de présence arrivées à</w:t>
      </w:r>
      <w:r>
        <w:t xml:space="preserve"> </w:t>
      </w:r>
      <w:r>
        <w:t xml:space="preserve">échéance, effacement des coordonnées des demandes d'inscription refusées depuis 12 mois, purge des jetons de l'API</w:t>
      </w:r>
      <w:r>
        <w:t xml:space="preserve"> </w:t>
      </w:r>
      <w:r>
        <w:t xml:space="preserve">expirés ou révoqués.</w:t>
      </w:r>
    </w:p>
    <w:p>
      <w:pPr/>
      <w:r>
        <w:t xml:space="preserve">La sauvegarde, elle, est lancée par un minuteur systemd du serveur (chapitre</w:t>
      </w:r>
      <w:r>
        <w:t xml:space="preserve"> </w:t>
      </w:r>
      <w:hyperlink w:history="true" w:anchor="_s42">
        <w:r>
          <w:rPr>
            <w:rStyle w:val="Hyperlink"/>
          </w:rPr>
          <w:t xml:space="preserve">Sauvegarde et restauration</w:t>
        </w:r>
      </w:hyperlink>
      <w:r>
        <w:t xml:space="preserve">).</w:t>
      </w:r>
    </w:p>
    <w:p>
      <w:pPr>
        <w:pStyle w:val="Surtitre"/>
      </w:pPr>
      <w:r>
        <w:t xml:space="preserve">CHAPITRE 2</w:t>
      </w:r>
    </w:p>
    <w:p>
      <w:pPr>
        <w:pStyle w:val="Heading1"/>
      </w:pPr>
      <w:bookmarkStart w:name="_s12" w:id="12"/>
      <w:r>
        <w:t xml:space="preserve">Prérequis</w:t>
      </w:r>
      <w:bookmarkEnd w:id="12"/>
    </w:p>
    <w:p>
      <w:pPr>
        <w:pStyle w:val="Chapeau"/>
      </w:pPr>
      <w:r>
        <w:t xml:space="preserve">Ce qu'il faut réunir avant l'installation : serveur, nom de domaine, messagerie, stockage hors serveur et postes des utilisateurs.</w:t>
      </w:r>
    </w:p>
    <w:p>
      <w:pPr>
        <w:pStyle w:val="Note"/>
      </w:pPr>
      <w:r>
        <w:t xml:space="preserve">Concerne : </w:t>
      </w:r>
      <w:r>
        <w:rPr>
          <w:b/>
        </w:rPr>
        <w:t xml:space="preserve">Équipe technique · Hébergeur</w:t>
      </w:r>
    </w:p>
    <w:p>
      <w:pPr>
        <w:pStyle w:val="Heading2"/>
      </w:pPr>
      <w:bookmarkStart w:name="_s13" w:id="13"/>
      <w:r>
        <w:rPr>
          <w:color w:val="D9480F"/>
        </w:rPr>
        <w:t xml:space="preserve">2.1  </w:t>
      </w:r>
      <w:r>
        <w:t xml:space="preserve">Serveur</w:t>
      </w:r>
      <w:bookmarkEnd w:id="13"/>
    </w:p>
    <w:p>
      <w:pPr/>
      <w:r>
        <w:t xml:space="preserve">Configuration validée (serveur de démonstration) :</w:t>
      </w:r>
    </w:p>
    <w:tbl>
      <w:tblPr>
        <w:tblW w:w="5000" w:type="pct"/>
        <w:tblBorders>
          <w:top w:val="single" w:color="DFE4EC" w:sz="4"/>
          <w:bottom w:val="single" w:color="DFE4EC" w:sz="4"/>
          <w:left w:val="nil"/>
          <w:right w:val="nil"/>
          <w:insideH w:val="single" w:color="DFE4EC" w:sz="4"/>
          <w:insideV w:val="nil"/>
        </w:tblBorders>
        <w:tblLayout w:type="fixed"/>
        <w:tblCellMar>
          <w:top w:w="50" w:type="dxa"/>
          <w:left w:w="100" w:type="dxa"/>
          <w:bottom w:w="50" w:type="dxa"/>
          <w:right w:w="100" w:type="dxa"/>
        </w:tblCellMar>
      </w:tblPr>
      <w:tblGrid>
        <w:gridCol w:w="2029"/>
        <w:gridCol w:w="7608"/>
      </w:tblGrid>
      <w:tr>
        <w:trPr>
          <w:cantSplit/>
          <w:tblHeader/>
        </w:trPr>
        <w:tc>
          <w:tcPr>
            <w:tcW w:w="2029" w:type="dxa"/>
            <w:shd w:val="clear" w:color="auto" w:fill="F4F6FA"/>
          </w:tcPr>
          <w:p>
            <w:pPr>
              <w:pStyle w:val="Tableau"/>
            </w:pPr>
            <w:r>
              <w:rPr>
                <w:b/>
              </w:rPr>
              <w:t xml:space="preserve">Élément</w:t>
            </w:r>
          </w:p>
        </w:tc>
        <w:tc>
          <w:tcPr>
            <w:tcW w:w="7608" w:type="dxa"/>
            <w:shd w:val="clear" w:color="auto" w:fill="F4F6FA"/>
          </w:tcPr>
          <w:p>
            <w:pPr>
              <w:pStyle w:val="Tableau"/>
            </w:pPr>
            <w:r>
              <w:rPr>
                <w:b/>
              </w:rPr>
              <w:t xml:space="preserve">Minimum conseillé</w:t>
            </w:r>
          </w:p>
        </w:tc>
      </w:tr>
      <w:tr>
        <w:trPr>
          <w:cantSplit/>
        </w:trPr>
        <w:tc>
          <w:tcPr>
            <w:tcW w:w="2029" w:type="dxa"/>
          </w:tcPr>
          <w:p>
            <w:pPr>
              <w:pStyle w:val="Tableau"/>
            </w:pPr>
            <w:r>
              <w:t xml:space="preserve">Système</w:t>
            </w:r>
          </w:p>
        </w:tc>
        <w:tc>
          <w:tcPr>
            <w:tcW w:w="7608" w:type="dxa"/>
          </w:tcPr>
          <w:p>
            <w:pPr>
              <w:pStyle w:val="Tableau"/>
            </w:pPr>
            <w:r>
              <w:t xml:space="preserve">Ubuntu 26.04 LTS (64 bits)</w:t>
            </w:r>
          </w:p>
        </w:tc>
      </w:tr>
      <w:tr>
        <w:trPr>
          <w:cantSplit/>
        </w:trPr>
        <w:tc>
          <w:tcPr>
            <w:tcW w:w="2029" w:type="dxa"/>
          </w:tcPr>
          <w:p>
            <w:pPr>
              <w:pStyle w:val="Tableau"/>
            </w:pPr>
            <w:r>
              <w:t xml:space="preserve">Processeur</w:t>
            </w:r>
          </w:p>
        </w:tc>
        <w:tc>
          <w:tcPr>
            <w:tcW w:w="7608" w:type="dxa"/>
          </w:tcPr>
          <w:p>
            <w:pPr>
              <w:pStyle w:val="Tableau"/>
            </w:pPr>
            <w:r>
              <w:t xml:space="preserve">2 vCPU</w:t>
            </w:r>
          </w:p>
        </w:tc>
      </w:tr>
      <w:tr>
        <w:trPr>
          <w:cantSplit/>
        </w:trPr>
        <w:tc>
          <w:tcPr>
            <w:tcW w:w="2029" w:type="dxa"/>
          </w:tcPr>
          <w:p>
            <w:pPr>
              <w:pStyle w:val="Tableau"/>
            </w:pPr>
            <w:r>
              <w:t xml:space="preserve">Mémoire</w:t>
            </w:r>
          </w:p>
        </w:tc>
        <w:tc>
          <w:tcPr>
            <w:tcW w:w="7608" w:type="dxa"/>
          </w:tcPr>
          <w:p>
            <w:pPr>
              <w:pStyle w:val="Tableau"/>
            </w:pPr>
            <w:r>
              <w:t xml:space="preserve">4 Go, plus 2 Go d'espace d'échange (swap)</w:t>
            </w:r>
          </w:p>
        </w:tc>
      </w:tr>
      <w:tr>
        <w:trPr>
          <w:cantSplit/>
        </w:trPr>
        <w:tc>
          <w:tcPr>
            <w:tcW w:w="2029" w:type="dxa"/>
          </w:tcPr>
          <w:p>
            <w:pPr>
              <w:pStyle w:val="Tableau"/>
            </w:pPr>
            <w:r>
              <w:t xml:space="preserve">Disque</w:t>
            </w:r>
          </w:p>
        </w:tc>
        <w:tc>
          <w:tcPr>
            <w:tcW w:w="7608" w:type="dxa"/>
          </w:tcPr>
          <w:p>
            <w:pPr>
              <w:pStyle w:val="Tableau"/>
            </w:pPr>
            <w:r>
              <w:t xml:space="preserve">40 Go (SSD)</w:t>
            </w:r>
          </w:p>
        </w:tc>
      </w:tr>
      <w:tr>
        <w:trPr>
          <w:cantSplit/>
        </w:trPr>
        <w:tc>
          <w:tcPr>
            <w:tcW w:w="2029" w:type="dxa"/>
          </w:tcPr>
          <w:p>
            <w:pPr>
              <w:pStyle w:val="Tableau"/>
            </w:pPr>
            <w:r>
              <w:t xml:space="preserve">Réseau</w:t>
            </w:r>
          </w:p>
        </w:tc>
        <w:tc>
          <w:tcPr>
            <w:tcW w:w="7608" w:type="dxa"/>
          </w:tcPr>
          <w:p>
            <w:pPr>
              <w:pStyle w:val="Tableau"/>
            </w:pPr>
            <w:r>
              <w:t xml:space="preserve">Adresse IPv4 publique (IPv6 conseillée), ports 80 et 443 joignables depuis Internet</w:t>
            </w:r>
          </w:p>
        </w:tc>
      </w:tr>
      <w:tr>
        <w:trPr>
          <w:cantSplit/>
        </w:trPr>
        <w:tc>
          <w:tcPr>
            <w:tcW w:w="2029" w:type="dxa"/>
          </w:tcPr>
          <w:p>
            <w:pPr>
              <w:pStyle w:val="Tableau"/>
            </w:pPr>
            <w:r>
              <w:t xml:space="preserve">Accès</w:t>
            </w:r>
          </w:p>
        </w:tc>
        <w:tc>
          <w:tcPr>
            <w:tcW w:w="7608" w:type="dxa"/>
          </w:tcPr>
          <w:p>
            <w:pPr>
              <w:pStyle w:val="Tableau"/>
            </w:pPr>
            <w:r>
              <w:t xml:space="preserve">SSH par clé, compte d'exploitation avec </w:t>
            </w:r>
            <w:r>
              <w:rPr>
                <w:rStyle w:val="CodeCar"/>
              </w:rPr>
              <w:t xml:space="preserve">sudo</w:t>
            </w:r>
          </w:p>
        </w:tc>
      </w:tr>
    </w:tbl>
    <w:p>
      <w:pPr>
        <w:spacing w:before="0" w:after="0"/>
      </w:pPr>
    </w:p>
    <w:tbl>
      <w:tblPr>
        <w:tblW w:w="5000" w:type="pct"/>
        <w:tblCellMar>
          <w:top w:w="100" w:type="dxa"/>
          <w:left w:w="200" w:type="dxa"/>
          <w:bottom w:w="60" w:type="dxa"/>
          <w:right w:w="200" w:type="dxa"/>
        </w:tblCellMar>
      </w:tblPr>
      <w:tr>
        <w:trPr>
          <w:cantSplit/>
        </w:trPr>
        <w:tc>
          <w:tcPr>
            <w:tcW w:w="5000" w:type="pct"/>
            <w:tcBorders>
              <w:left w:val="single" w:color="7A3FD1" w:sz="24"/>
            </w:tcBorders>
            <w:shd w:val="clear" w:color="auto" w:fill="F4EFFC"/>
          </w:tcPr>
          <w:p>
            <w:pPr>
              <w:pStyle w:val="Encadre"/>
            </w:pPr>
            <w:r>
              <w:rPr>
                <w:b/>
                <w:color w:val="7A3FD1"/>
              </w:rPr>
              <w:t xml:space="preserve">Important</w:t>
            </w:r>
          </w:p>
          <w:p>
            <w:pPr>
              <w:pStyle w:val="Encadre"/>
            </w:pPr>
            <w:r>
              <w:t xml:space="preserve">La construction de l'image .NET a lieu sur le serveur : sous 4 Go de mémoire sans espace d'échange, elle peut échouer</w:t>
            </w:r>
            <w:r>
              <w:t xml:space="preserve"> </w:t>
            </w:r>
            <w:r>
              <w:t xml:space="preserve">faute de mémoire. Créez le swap de 2 Go décrit à l'</w:t>
            </w:r>
            <w:hyperlink w:history="true" w:anchor="_s20">
              <w:r>
                <w:rPr>
                  <w:rStyle w:val="Hyperlink"/>
                </w:rPr>
                <w:t xml:space="preserve">installation</w:t>
              </w:r>
            </w:hyperlink>
            <w:r>
              <w:t xml:space="preserve">.</w:t>
            </w:r>
          </w:p>
        </w:tc>
      </w:tr>
    </w:tbl>
    <w:p>
      <w:pPr>
        <w:spacing w:before="0" w:after="0"/>
      </w:pPr>
    </w:p>
    <w:p>
      <w:pPr/>
      <w:r>
        <w:rPr>
          <w:b/>
        </w:rPr>
        <w:t xml:space="preserve">Place disque.</w:t>
      </w:r>
      <w:r>
        <w:t xml:space="preserve"> Elle dépend surtout des fichiers déposés (photos, pièces jointes de 10 Mo au plus) et des 30 jours</w:t>
      </w:r>
      <w:r>
        <w:t xml:space="preserve"> </w:t>
      </w:r>
      <w:r>
        <w:t xml:space="preserve">de sauvegardes locales : chaque sauvegarde contient la base et </w:t>
      </w:r>
      <w:r>
        <w:rPr>
          <w:b/>
        </w:rPr>
        <w:t xml:space="preserve">tous</w:t>
      </w:r>
      <w:r>
        <w:t xml:space="preserve"> les fichiers déposés. Prévoyez une marge d'au</w:t>
      </w:r>
      <w:r>
        <w:t xml:space="preserve"> </w:t>
      </w:r>
      <w:r>
        <w:t xml:space="preserve">moins trois fois </w:t>
      </w:r>
      <w:r>
        <w:rPr>
          <w:rStyle w:val="CodeCar"/>
        </w:rPr>
        <w:t xml:space="preserve">30 × (taille de la base + taille des fichiers)</w:t>
      </w:r>
      <w:r>
        <w:t xml:space="preserve"> sur la durée du projet, et surveillez la place</w:t>
      </w:r>
      <w:r>
        <w:t xml:space="preserve"> </w:t>
      </w:r>
      <w:r>
        <w:t xml:space="preserve">(chapitre </w:t>
      </w:r>
      <w:hyperlink w:history="true" w:anchor="_s54">
        <w:r>
          <w:rPr>
            <w:rStyle w:val="Hyperlink"/>
          </w:rPr>
          <w:t xml:space="preserve">Supervision</w:t>
        </w:r>
      </w:hyperlink>
      <w:r>
        <w:t xml:space="preserve">).</w:t>
      </w:r>
    </w:p>
    <w:p>
      <w:pPr/>
      <w:r>
        <w:rPr>
          <w:b/>
        </w:rPr>
        <w:t xml:space="preserve">Logiciels installés sur le serveur</w:t>
      </w:r>
      <w:r>
        <w:t xml:space="preserve"> : Docker Engine et le greffon Docker Compose, depuis le dépôt officiel de Docker.</w:t>
      </w:r>
      <w:r>
        <w:t xml:space="preserve"> </w:t>
      </w:r>
      <w:r>
        <w:t xml:space="preserve">Rien d'autre : PostgreSQL, .NET, Caddy, rclone et les outils de sauvegarde tournent dans des conteneurs.</w:t>
      </w:r>
    </w:p>
    <w:p>
      <w:pPr>
        <w:pStyle w:val="Heading2"/>
      </w:pPr>
      <w:bookmarkStart w:name="_s14" w:id="14"/>
      <w:r>
        <w:rPr>
          <w:color w:val="D9480F"/>
        </w:rPr>
        <w:t xml:space="preserve">2.2  </w:t>
      </w:r>
      <w:r>
        <w:t xml:space="preserve">Nom de domaine</w:t>
      </w:r>
      <w:bookmarkEnd w:id="14"/>
    </w:p>
    <w:p>
      <w:pPr/>
      <w:r>
        <w:t xml:space="preserve">La plateforme doit être servie sur un nom de domaine (par exemple </w:t>
      </w:r>
      <w:r>
        <w:rPr>
          <w:rStyle w:val="CodeCar"/>
        </w:rPr>
        <w:t xml:space="preserve">read.example.org</w:t>
      </w:r>
      <w:r>
        <w:t xml:space="preserve">) pour obtenir un certificat HTTPS.</w:t>
      </w:r>
    </w:p>
    <w:p>
      <w:pPr>
        <w:pStyle w:val="ListParagraph"/>
        <w:numPr>
          <w:ilvl w:val="0"/>
          <w:numId w:val="11"/>
        </w:numPr>
      </w:pPr>
      <w:r>
        <w:t xml:space="preserve">Choisissez le nom (sous-domaine d'un domaine existant de l'organisation, de préférence).</w:t>
      </w:r>
    </w:p>
    <w:p>
      <w:pPr>
        <w:pStyle w:val="ListParagraph"/>
        <w:numPr>
          <w:ilvl w:val="0"/>
          <w:numId w:val="11"/>
        </w:numPr>
      </w:pPr>
      <w:r>
        <w:t xml:space="preserve">Créez chez le gestionnaire DNS un enregistrement </w:t>
      </w:r>
      <w:r>
        <w:rPr>
          <w:rStyle w:val="CodeCar"/>
        </w:rPr>
        <w:t xml:space="preserve">A</w:t>
      </w:r>
      <w:r>
        <w:t xml:space="preserve"> vers l'adresse IPv4 du serveur et, si le serveur en a une, un</w:t>
      </w:r>
      <w:r>
        <w:t xml:space="preserve"> </w:t>
      </w:r>
      <w:r>
        <w:t xml:space="preserve">enregistrement </w:t>
      </w:r>
      <w:r>
        <w:rPr>
          <w:rStyle w:val="CodeCar"/>
        </w:rPr>
        <w:t xml:space="preserve">AAAA</w:t>
      </w:r>
      <w:r>
        <w:t xml:space="preserve"> vers son adresse IPv6.</w:t>
      </w:r>
    </w:p>
    <w:p>
      <w:pPr>
        <w:pStyle w:val="ListParagraph"/>
        <w:numPr>
          <w:ilvl w:val="0"/>
          <w:numId w:val="11"/>
        </w:numPr>
      </w:pPr>
      <w:r>
        <w:t xml:space="preserve">Attendez que le nom résolve vers le serveur avant le premier démarrage de Caddy.</w:t>
      </w:r>
    </w:p>
    <w:tbl>
      <w:tblPr>
        <w:tblW w:w="5000" w:type="pct"/>
        <w:tblCellMar>
          <w:top w:w="100" w:type="dxa"/>
          <w:left w:w="200" w:type="dxa"/>
          <w:bottom w:w="60" w:type="dxa"/>
          <w:right w:w="200" w:type="dxa"/>
        </w:tblCellMar>
      </w:tblPr>
      <w:tr>
        <w:trPr>
          <w:cantSplit/>
        </w:trPr>
        <w:tc>
          <w:tcPr>
            <w:tcW w:w="5000" w:type="pct"/>
            <w:tcBorders>
              <w:left w:val="single" w:color="A15C00" w:sz="24"/>
            </w:tcBorders>
            <w:shd w:val="clear" w:color="auto" w:fill="FFF6E5"/>
          </w:tcPr>
          <w:p>
            <w:pPr>
              <w:pStyle w:val="Encadre"/>
            </w:pPr>
            <w:r>
              <w:rPr>
                <w:b/>
                <w:color w:val="A15C00"/>
              </w:rPr>
              <w:t xml:space="preserve">Attention</w:t>
            </w:r>
          </w:p>
          <w:p>
            <w:pPr>
              <w:pStyle w:val="Encadre"/>
            </w:pPr>
            <w:r>
              <w:t xml:space="preserve">Si le domaine passe par un service de type « proxy » ou CDN (par exemple le nuage orange de Cloudflare), désactivez</w:t>
            </w:r>
            <w:r>
              <w:t xml:space="preserve"> </w:t>
            </w:r>
            <w:r>
              <w:t xml:space="preserve">ce mode pour cet enregistrement (« DNS seulement »). Sinon la plateforme voit l'adresse du service au lieu de celle</w:t>
            </w:r>
            <w:r>
              <w:t xml:space="preserve"> </w:t>
            </w:r>
            <w:r>
              <w:t xml:space="preserve">des visiteurs : la limitation des tentatives de connexion et le journal d'audit deviennent faux.</w:t>
            </w:r>
          </w:p>
        </w:tc>
      </w:tr>
    </w:tbl>
    <w:p>
      <w:pPr>
        <w:spacing w:before="0" w:after="0"/>
      </w:pPr>
    </w:p>
    <w:p>
      <w:pPr/>
      <w:r>
        <w:t xml:space="preserve">En attendant un domaine, le nom fourni par l'hébergeur pour le serveur (de la forme </w:t>
      </w:r>
      <w:r>
        <w:rPr>
          <w:rStyle w:val="CodeCar"/>
        </w:rPr>
        <w:t xml:space="preserve">vps-….example.net</w:t>
      </w:r>
      <w:r>
        <w:t xml:space="preserve">) convient : Caddy</w:t>
      </w:r>
      <w:r>
        <w:t xml:space="preserve"> </w:t>
      </w:r>
      <w:r>
        <w:t xml:space="preserve">obtient aussi un certificat pour lui. Le jour où le domaine est prêt, passez </w:t>
      </w:r>
      <w:r>
        <w:rPr>
          <w:rStyle w:val="CodeCar"/>
        </w:rPr>
        <w:t xml:space="preserve">SITE_ADDRESS</w:t>
      </w:r>
      <w:r>
        <w:t xml:space="preserve"> et </w:t>
      </w:r>
      <w:r>
        <w:rPr>
          <w:rStyle w:val="CodeCar"/>
        </w:rPr>
        <w:t xml:space="preserve">URL_PUBLIQUE</w:t>
      </w:r>
      <w:r>
        <w:t xml:space="preserve"> sur le domaine et mettez</w:t>
      </w:r>
      <w:r>
        <w:t xml:space="preserve"> </w:t>
      </w:r>
      <w:r>
        <w:t xml:space="preserve">l'ancien nom dans </w:t>
      </w:r>
      <w:r>
        <w:rPr>
          <w:rStyle w:val="CodeCar"/>
        </w:rPr>
        <w:t xml:space="preserve">SITE_REDIRECTION</w:t>
      </w:r>
      <w:r>
        <w:t xml:space="preserve"> : les liens déjà diffusés continuent de fonctionner.</w:t>
      </w:r>
    </w:p>
    <w:p>
      <w:pPr>
        <w:pStyle w:val="Heading2"/>
      </w:pPr>
      <w:bookmarkStart w:name="_s15" w:id="15"/>
      <w:r>
        <w:rPr>
          <w:color w:val="D9480F"/>
        </w:rPr>
        <w:t xml:space="preserve">2.3  </w:t>
      </w:r>
      <w:r>
        <w:t xml:space="preserve">Messagerie (SMTP)</w:t>
      </w:r>
      <w:bookmarkEnd w:id="15"/>
    </w:p>
    <w:p>
      <w:pPr/>
      <w:r>
        <w:t xml:space="preserve">La plateforme envoie des e-mails : lien « mot de passe oublié », copies des notifications. Il faut un compte sur un</w:t>
      </w:r>
      <w:r>
        <w:t xml:space="preserve"> </w:t>
      </w:r>
      <w:r>
        <w:t xml:space="preserve">serveur SMTP (serveur de l'organisation ou service d'envoi transactionnel) : hôte, port, mode de chiffrement,</w:t>
      </w:r>
      <w:r>
        <w:t xml:space="preserve"> </w:t>
      </w:r>
      <w:r>
        <w:t xml:space="preserve">identifiant, mot de passe et adresse d'expédition autorisée.</w:t>
      </w:r>
    </w:p>
    <w:p>
      <w:pPr/>
      <w:r>
        <w:t xml:space="preserve">Sans serveur SMTP, aucun e-mail ne part : les messages sont écrits dans le volume des fichiers déposés</w:t>
      </w:r>
      <w:r>
        <w:t xml:space="preserve"> </w:t>
      </w:r>
      <w:r>
        <w:t xml:space="preserve">(</w:t>
      </w:r>
      <w:r>
        <w:rPr>
          <w:rStyle w:val="CodeCar"/>
        </w:rPr>
        <w:t xml:space="preserve">boite-envoi/</w:t>
      </w:r>
      <w:r>
        <w:t xml:space="preserve">), ce qui convient pour un essai mais pas en production.</w:t>
      </w:r>
    </w:p>
    <w:tbl>
      <w:tblPr>
        <w:tblW w:w="5000" w:type="pct"/>
        <w:tblCellMar>
          <w:top w:w="100" w:type="dxa"/>
          <w:left w:w="200" w:type="dxa"/>
          <w:bottom w:w="60" w:type="dxa"/>
          <w:right w:w="200" w:type="dxa"/>
        </w:tblCellMar>
      </w:tblPr>
      <w:tr>
        <w:trPr>
          <w:cantSplit/>
        </w:trPr>
        <w:tc>
          <w:tcPr>
            <w:tcW w:w="5000" w:type="pct"/>
            <w:tcBorders>
              <w:left w:val="single" w:color="0D5BD7" w:sz="24"/>
            </w:tcBorders>
            <w:shd w:val="clear" w:color="auto" w:fill="EEF4FF"/>
          </w:tcPr>
          <w:p>
            <w:pPr>
              <w:pStyle w:val="Encadre"/>
            </w:pPr>
            <w:r>
              <w:rPr>
                <w:b/>
                <w:color w:val="0D5BD7"/>
              </w:rPr>
              <w:t xml:space="preserve">Remarque</w:t>
            </w:r>
          </w:p>
          <w:p>
            <w:pPr>
              <w:pStyle w:val="Encadre"/>
            </w:pPr>
            <w:r>
              <w:t xml:space="preserve">L'envoi passe par une authentification SMTP classique (identifiant et mot de passe). Un fournisseur qui n'accepte</w:t>
            </w:r>
            <w:r>
              <w:t xml:space="preserve"> </w:t>
            </w:r>
            <w:r>
              <w:t xml:space="preserve">que OAuth (par exemple certaines configurations de Microsoft 365) demande une adaptation du code.</w:t>
            </w:r>
          </w:p>
        </w:tc>
      </w:tr>
    </w:tbl>
    <w:p>
      <w:pPr>
        <w:spacing w:before="0" w:after="0"/>
      </w:pPr>
    </w:p>
    <w:p>
      <w:pPr>
        <w:pStyle w:val="Heading2"/>
      </w:pPr>
      <w:bookmarkStart w:name="_s16" w:id="16"/>
      <w:r>
        <w:rPr>
          <w:color w:val="D9480F"/>
        </w:rPr>
        <w:t xml:space="preserve">2.4  </w:t>
      </w:r>
      <w:r>
        <w:t xml:space="preserve">Stockage hors serveur</w:t>
      </w:r>
      <w:bookmarkEnd w:id="16"/>
    </w:p>
    <w:p>
      <w:pPr/>
      <w:r>
        <w:t xml:space="preserve">Le cahier des charges exige une copie des sauvegardes </w:t>
      </w:r>
      <w:r>
        <w:rPr>
          <w:b/>
        </w:rPr>
        <w:t xml:space="preserve">hors du serveur</w:t>
      </w:r>
      <w:r>
        <w:t xml:space="preserve">. Il faut un stockage objet compatible S3,</w:t>
      </w:r>
      <w:r>
        <w:t xml:space="preserve"> </w:t>
      </w:r>
      <w:r>
        <w:t xml:space="preserve">situé dans une </w:t>
      </w:r>
      <w:r>
        <w:rPr>
          <w:b/>
        </w:rPr>
        <w:t xml:space="preserve">autre région</w:t>
      </w:r>
      <w:r>
        <w:t xml:space="preserve"> que le serveur (par exemple OVHcloud Object Storage), avec :</w:t>
      </w:r>
    </w:p>
    <w:p>
      <w:pPr>
        <w:pStyle w:val="ListParagraph"/>
        <w:numPr>
          <w:ilvl w:val="0"/>
          <w:numId w:val="1"/>
        </w:numPr>
      </w:pPr>
      <w:r>
        <w:t xml:space="preserve">un conteneur (« bucket ») dédié ;</w:t>
      </w:r>
    </w:p>
    <w:p>
      <w:pPr>
        <w:pStyle w:val="ListParagraph"/>
        <w:numPr>
          <w:ilvl w:val="0"/>
          <w:numId w:val="1"/>
        </w:numPr>
      </w:pPr>
      <w:r>
        <w:t xml:space="preserve">un utilisateur S3 limité à ce conteneur : point d'accès, région, clé d'accès, clé secrète ;</w:t>
      </w:r>
    </w:p>
    <w:p>
      <w:pPr>
        <w:pStyle w:val="ListParagraph"/>
        <w:numPr>
          <w:ilvl w:val="0"/>
          <w:numId w:val="1"/>
        </w:numPr>
      </w:pPr>
      <w:r>
        <w:t xml:space="preserve">une phrase de chiffrement longue, conservée </w:t>
      </w:r>
      <w:r>
        <w:rPr>
          <w:b/>
        </w:rPr>
        <w:t xml:space="preserve">hors du serveur</w:t>
      </w:r>
      <w:r>
        <w:t xml:space="preserve"> (gestionnaire de mots de passe de l'organisation).</w:t>
      </w:r>
    </w:p>
    <w:p>
      <w:pPr/>
      <w:r>
        <w:t xml:space="preserve">La procédure figure au chapitre </w:t>
      </w:r>
      <w:hyperlink w:history="true" w:anchor="_s45">
        <w:r>
          <w:rPr>
            <w:rStyle w:val="Hyperlink"/>
          </w:rPr>
          <w:t xml:space="preserve">Sauvegarde et restauration</w:t>
        </w:r>
      </w:hyperlink>
      <w:r>
        <w:t xml:space="preserve">.</w:t>
      </w:r>
    </w:p>
    <w:p>
      <w:pPr>
        <w:pStyle w:val="Heading2"/>
      </w:pPr>
      <w:bookmarkStart w:name="_s17" w:id="17"/>
      <w:r>
        <w:rPr>
          <w:color w:val="D9480F"/>
        </w:rPr>
        <w:t xml:space="preserve">2.5  </w:t>
      </w:r>
      <w:r>
        <w:t xml:space="preserve">Poste de l'équipe technique</w:t>
      </w:r>
      <w:bookmarkEnd w:id="17"/>
    </w:p>
    <w:p>
      <w:pPr/>
      <w:r>
        <w:t xml:space="preserve">Le déploiement se lance depuis un poste qui dispose :</w:t>
      </w:r>
    </w:p>
    <w:p>
      <w:pPr>
        <w:pStyle w:val="ListParagraph"/>
        <w:numPr>
          <w:ilvl w:val="0"/>
          <w:numId w:val="1"/>
        </w:numPr>
      </w:pPr>
      <w:r>
        <w:t xml:space="preserve">du dépôt Git du code source ;</w:t>
      </w:r>
    </w:p>
    <w:p>
      <w:pPr>
        <w:pStyle w:val="ListParagraph"/>
        <w:numPr>
          <w:ilvl w:val="0"/>
          <w:numId w:val="1"/>
        </w:numPr>
      </w:pPr>
      <w:r>
        <w:t xml:space="preserve">de Git et d'un shell bash (Linux, macOS, ou Git Bash sous Windows) ;</w:t>
      </w:r>
    </w:p>
    <w:p>
      <w:pPr>
        <w:pStyle w:val="ListParagraph"/>
        <w:numPr>
          <w:ilvl w:val="0"/>
          <w:numId w:val="1"/>
        </w:numPr>
      </w:pPr>
      <w:r>
        <w:t xml:space="preserve">d'un client SSH dont la clé est autorisée sur le serveur, et d'un alias SSH (fichier </w:t>
      </w:r>
      <w:r>
        <w:rPr>
          <w:rStyle w:val="CodeCar"/>
        </w:rPr>
        <w:t xml:space="preserve">~/.ssh/config</w:t>
      </w:r>
      <w:r>
        <w:t xml:space="preserve">) vers le serveur.</w:t>
      </w:r>
    </w:p>
    <w:p>
      <w:pPr/>
      <w:r>
        <w:t xml:space="preserve">Le serveur, lui, n'a besoin d'aucun accès au dépôt.</w:t>
      </w:r>
    </w:p>
    <w:p>
      <w:pPr>
        <w:pStyle w:val="Heading2"/>
      </w:pPr>
      <w:bookmarkStart w:name="_s18" w:id="18"/>
      <w:r>
        <w:rPr>
          <w:color w:val="D9480F"/>
        </w:rPr>
        <w:t xml:space="preserve">2.6  </w:t>
      </w:r>
      <w:r>
        <w:t xml:space="preserve">Postes des utilisateurs</w:t>
      </w:r>
      <w:bookmarkEnd w:id="18"/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Navigateurs</w:t>
      </w:r>
      <w:r>
        <w:t xml:space="preserve"> : versions récentes de Chrome, Edge, Firefox ou Safari, sur ordinateur ou téléphone. JavaScript</w:t>
      </w:r>
      <w:r>
        <w:t xml:space="preserve"> </w:t>
      </w:r>
      <w:r>
        <w:t xml:space="preserve">activé (graphiques, calendrier, grille de saisie).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Écran</w:t>
      </w:r>
      <w:r>
        <w:t xml:space="preserve"> : chaque page est utilisable à partir de 360 pixels de large (téléphone).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Module hors ligne</w:t>
      </w:r>
      <w:r>
        <w:t xml:space="preserve"> : téléphone Android avec Chrome (installation « Ajouter à l'écran d'accueil »). Une première</w:t>
      </w:r>
      <w:r>
        <w:t xml:space="preserve"> </w:t>
      </w:r>
      <w:r>
        <w:t xml:space="preserve">connexion avec du réseau est nécessaire ; la saisie se fait ensuite sans réseau.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Bande passante</w:t>
      </w:r>
      <w:r>
        <w:t xml:space="preserve"> : les pages sont légères ; le module hors ligne télécharge son application (quelques mégaoctets)</w:t>
      </w:r>
      <w:r>
        <w:t xml:space="preserve"> </w:t>
      </w:r>
      <w:r>
        <w:t xml:space="preserve">une seule fois, puis à chaque nouvelle version.</w:t>
      </w:r>
    </w:p>
    <w:p>
      <w:pPr>
        <w:pStyle w:val="Surtitre"/>
      </w:pPr>
      <w:r>
        <w:t xml:space="preserve">CHAPITRE 3</w:t>
      </w:r>
    </w:p>
    <w:p>
      <w:pPr>
        <w:pStyle w:val="Heading1"/>
      </w:pPr>
      <w:bookmarkStart w:name="_s19" w:id="19"/>
      <w:r>
        <w:t xml:space="preserve">Installation</w:t>
      </w:r>
      <w:bookmarkEnd w:id="19"/>
    </w:p>
    <w:p>
      <w:pPr>
        <w:pStyle w:val="Chapeau"/>
      </w:pPr>
      <w:r>
        <w:t xml:space="preserve">Préparer un serveur Ubuntu, créer le fichier de réglages et réaliser le premier déploiement.</w:t>
      </w:r>
    </w:p>
    <w:p>
      <w:pPr>
        <w:pStyle w:val="Note"/>
      </w:pPr>
      <w:r>
        <w:t xml:space="preserve">Concerne : </w:t>
      </w:r>
      <w:r>
        <w:rPr>
          <w:b/>
        </w:rPr>
        <w:t xml:space="preserve">Équipe technique · Hébergeur</w:t>
      </w:r>
    </w:p>
    <w:p>
      <w:pPr/>
      <w:r>
        <w:t xml:space="preserve">Ce chapitre installe la plateforme sur un serveur neuf. Comptez une heure, dont une dizaine de minutes pour la première</w:t>
      </w:r>
      <w:r>
        <w:t xml:space="preserve"> </w:t>
      </w:r>
      <w:r>
        <w:t xml:space="preserve">construction de l'image.</w:t>
      </w:r>
    </w:p>
    <w:p>
      <w:pPr>
        <w:pStyle w:val="Heading2"/>
      </w:pPr>
      <w:bookmarkStart w:name="_s20" w:id="20"/>
      <w:r>
        <w:rPr>
          <w:color w:val="D9480F"/>
        </w:rPr>
        <w:t xml:space="preserve">3.1  </w:t>
      </w:r>
      <w:r>
        <w:t xml:space="preserve">Système</w:t>
      </w:r>
      <w:bookmarkEnd w:id="20"/>
    </w:p>
    <w:p>
      <w:pPr/>
      <w:r>
        <w:t xml:space="preserve">Connectez-vous au serveur avec le compte d'exploitation (ici </w:t>
      </w:r>
      <w:r>
        <w:rPr>
          <w:rStyle w:val="CodeCar"/>
        </w:rPr>
        <w:t xml:space="preserve">ubuntu</w:t>
      </w:r>
      <w:r>
        <w:t xml:space="preserve">), puis :</w:t>
      </w:r>
    </w:p>
    <w:p>
      <w:pPr>
        <w:pStyle w:val="ListParagraph"/>
        <w:numPr>
          <w:ilvl w:val="0"/>
          <w:numId w:val="12"/>
        </w:numPr>
      </w:pPr>
      <w:r>
        <w:t xml:space="preserve">Limitez SSH aux clés et interdisez la connexion directe de </w:t>
      </w:r>
      <w:r>
        <w:rPr>
          <w:rStyle w:val="CodeCar"/>
        </w:rPr>
        <w:t xml:space="preserve">root</w:t>
      </w:r>
      <w:r>
        <w:t xml:space="preserve">. Le fichier est lu avant </w:t>
      </w:r>
      <w:r>
        <w:rPr>
          <w:rStyle w:val="CodeCar"/>
        </w:rPr>
        <w:t xml:space="preserve">50-cloud-init.conf</w:t>
      </w:r>
      <w:r>
        <w:t xml:space="preserve"> : la</w:t>
      </w:r>
      <w:r>
        <w:t xml:space="preserve"> </w:t>
      </w:r>
      <w:r>
        <w:t xml:space="preserve">première valeur rencontrée l'emporte.</w:t>
      </w:r>
    </w:p>
    <w:p>
      <w:pPr>
        <w:pStyle w:val="Code"/>
      </w:pPr>
      <w:r>
        <w:t xml:space="preserve">sudo tee /etc/ssh/sshd_config.d/10-read.conf &lt;&lt;'EOF'</w:t>
      </w:r>
    </w:p>
    <w:p>
      <w:pPr>
        <w:pStyle w:val="Code"/>
      </w:pPr>
      <w:r>
        <w:t xml:space="preserve">PasswordAuthentication no</w:t>
      </w:r>
    </w:p>
    <w:p>
      <w:pPr>
        <w:pStyle w:val="Code"/>
      </w:pPr>
      <w:r>
        <w:t xml:space="preserve">KbdInteractiveAuthentication no</w:t>
      </w:r>
    </w:p>
    <w:p>
      <w:pPr>
        <w:pStyle w:val="Code"/>
      </w:pPr>
      <w:r>
        <w:t xml:space="preserve">PermitRootLogin no</w:t>
      </w:r>
    </w:p>
    <w:p>
      <w:pPr>
        <w:pStyle w:val="Code"/>
      </w:pPr>
      <w:r>
        <w:t xml:space="preserve">EOF</w:t>
      </w:r>
    </w:p>
    <w:p>
      <w:pPr>
        <w:pStyle w:val="Code"/>
        <w:spacing w:after="160"/>
      </w:pPr>
      <w:r>
        <w:t xml:space="preserve">sudo sshd -t &amp;&amp; sudo systemctl reload ssh</w:t>
      </w:r>
    </w:p>
    <w:p>
      <w:pPr>
        <w:pStyle w:val="ListParagraph"/>
        <w:numPr>
          <w:ilvl w:val="0"/>
          <w:numId w:val="12"/>
        </w:numPr>
      </w:pPr>
      <w:r>
        <w:t xml:space="preserve">Ouvrez le pare-feu pour SSH, HTTP et HTTPS (HTTP/3 compris) :</w:t>
      </w:r>
    </w:p>
    <w:p>
      <w:pPr>
        <w:pStyle w:val="Code"/>
      </w:pPr>
      <w:r>
        <w:t xml:space="preserve">sudo ufw allow OpenSSH &amp;&amp; sudo ufw allow 80/tcp &amp;&amp; sudo ufw allow 443/tcp &amp;&amp; sudo ufw allow 443/udp</w:t>
      </w:r>
    </w:p>
    <w:p>
      <w:pPr>
        <w:pStyle w:val="Code"/>
        <w:spacing w:after="160"/>
      </w:pPr>
      <w:r>
        <w:t xml:space="preserve">sudo ufw --force enable</w:t>
      </w:r>
    </w:p>
    <w:p>
      <w:pPr>
        <w:pStyle w:val="ListParagraph"/>
        <w:numPr>
          <w:ilvl w:val="0"/>
          <w:numId w:val="12"/>
        </w:numPr>
      </w:pPr>
      <w:r>
        <w:t xml:space="preserve">Créez un espace d'échange de 2 Go :</w:t>
      </w:r>
    </w:p>
    <w:p>
      <w:pPr>
        <w:pStyle w:val="Code"/>
      </w:pPr>
      <w:r>
        <w:t xml:space="preserve">sudo fallocate -l 2G /swapfile &amp;&amp; sudo chmod 600 /swapfile &amp;&amp; sudo mkswap /swapfile &amp;&amp; sudo swapon /swapfile</w:t>
      </w:r>
    </w:p>
    <w:p>
      <w:pPr>
        <w:pStyle w:val="Code"/>
        <w:spacing w:after="160"/>
      </w:pPr>
      <w:r>
        <w:t xml:space="preserve">echo '/swapfile none swap sw 0 0' | sudo tee -a /etc/fstab</w:t>
      </w:r>
    </w:p>
    <w:p>
      <w:pPr>
        <w:pStyle w:val="ListParagraph"/>
        <w:numPr>
          <w:ilvl w:val="0"/>
          <w:numId w:val="12"/>
        </w:numPr>
      </w:pPr>
      <w:r>
        <w:t xml:space="preserve">Vérifiez que les mises à jour de sécurité automatiques sont actives :</w:t>
      </w:r>
    </w:p>
    <w:p>
      <w:pPr>
        <w:pStyle w:val="Code"/>
        <w:spacing w:after="160"/>
      </w:pPr>
      <w:r>
        <w:t xml:space="preserve">systemctl is-enabled unattended-upgrades</w:t>
      </w:r>
    </w:p>
    <w:p>
      <w:pPr>
        <w:pStyle w:val="ListParagraph"/>
        <w:numPr>
          <w:ilvl w:val="0"/>
          <w:numId w:val="12"/>
        </w:numPr>
      </w:pPr>
      <w:r>
        <w:t xml:space="preserve">Vérifiez que l'horloge est synchronisée (</w:t>
      </w:r>
      <w:r>
        <w:rPr>
          <w:rStyle w:val="CodeCar"/>
        </w:rPr>
        <w:t xml:space="preserve">System clock synchronized: yes</w:t>
      </w:r>
      <w:r>
        <w:t xml:space="preserve">) :</w:t>
      </w:r>
    </w:p>
    <w:p>
      <w:pPr>
        <w:pStyle w:val="Code"/>
        <w:spacing w:after="160"/>
      </w:pPr>
      <w:r>
        <w:t xml:space="preserve">timedatectl</w:t>
      </w:r>
    </w:p>
    <w:tbl>
      <w:tblPr>
        <w:tblW w:w="5000" w:type="pct"/>
        <w:tblCellMar>
          <w:top w:w="100" w:type="dxa"/>
          <w:left w:w="200" w:type="dxa"/>
          <w:bottom w:w="60" w:type="dxa"/>
          <w:right w:w="200" w:type="dxa"/>
        </w:tblCellMar>
      </w:tblPr>
      <w:tr>
        <w:trPr>
          <w:cantSplit/>
        </w:trPr>
        <w:tc>
          <w:tcPr>
            <w:tcW w:w="5000" w:type="pct"/>
            <w:tcBorders>
              <w:left w:val="single" w:color="A15C00" w:sz="24"/>
            </w:tcBorders>
            <w:shd w:val="clear" w:color="auto" w:fill="FFF6E5"/>
          </w:tcPr>
          <w:p>
            <w:pPr>
              <w:pStyle w:val="Encadre"/>
            </w:pPr>
            <w:r>
              <w:rPr>
                <w:b/>
                <w:color w:val="A15C00"/>
              </w:rPr>
              <w:t xml:space="preserve">Attention</w:t>
            </w:r>
          </w:p>
          <w:p>
            <w:pPr>
              <w:pStyle w:val="Encadre"/>
            </w:pPr>
            <w:r>
              <w:t xml:space="preserve">Gardez une session SSH ouverte pendant que vous modifiez SSH et le pare-feu, et testez une nouvelle connexion avant</w:t>
            </w:r>
            <w:r>
              <w:t xml:space="preserve"> </w:t>
            </w:r>
            <w:r>
              <w:t xml:space="preserve">de la fermer : une erreur pourrait vous enfermer dehors.</w:t>
            </w:r>
          </w:p>
        </w:tc>
      </w:tr>
    </w:tbl>
    <w:p>
      <w:pPr>
        <w:spacing w:before="0" w:after="0"/>
      </w:pPr>
    </w:p>
    <w:tbl>
      <w:tblPr>
        <w:tblW w:w="5000" w:type="pct"/>
        <w:tblCellMar>
          <w:top w:w="100" w:type="dxa"/>
          <w:left w:w="200" w:type="dxa"/>
          <w:bottom w:w="60" w:type="dxa"/>
          <w:right w:w="200" w:type="dxa"/>
        </w:tblCellMar>
      </w:tblPr>
      <w:tr>
        <w:trPr>
          <w:cantSplit/>
        </w:trPr>
        <w:tc>
          <w:tcPr>
            <w:tcW w:w="5000" w:type="pct"/>
            <w:tcBorders>
              <w:left w:val="single" w:color="0D5BD7" w:sz="24"/>
            </w:tcBorders>
            <w:shd w:val="clear" w:color="auto" w:fill="EEF4FF"/>
          </w:tcPr>
          <w:p>
            <w:pPr>
              <w:pStyle w:val="Encadre"/>
            </w:pPr>
            <w:r>
              <w:rPr>
                <w:b/>
                <w:color w:val="0D5BD7"/>
              </w:rPr>
              <w:t xml:space="preserve">Remarque</w:t>
            </w:r>
          </w:p>
          <w:p>
            <w:pPr>
              <w:pStyle w:val="Encadre"/>
            </w:pPr>
            <w:r>
              <w:t xml:space="preserve">Docker publie ses ports en contournant </w:t>
            </w:r>
            <w:r>
              <w:rPr>
                <w:rStyle w:val="CodeCar"/>
              </w:rPr>
              <w:t xml:space="preserve">ufw</w:t>
            </w:r>
            <w:r>
              <w:t xml:space="preserve">. Seuls les ports 80 et 443 de Caddy sont publiés : la base et</w:t>
            </w:r>
            <w:r>
              <w:t xml:space="preserve"> </w:t>
            </w:r>
            <w:r>
              <w:t xml:space="preserve">l'application ne sont pas joignables de l'extérieur.</w:t>
            </w:r>
          </w:p>
        </w:tc>
      </w:tr>
    </w:tbl>
    <w:p>
      <w:pPr>
        <w:spacing w:before="0" w:after="0"/>
      </w:pPr>
    </w:p>
    <w:p>
      <w:pPr>
        <w:pStyle w:val="Heading2"/>
      </w:pPr>
      <w:bookmarkStart w:name="_s21" w:id="21"/>
      <w:r>
        <w:rPr>
          <w:color w:val="D9480F"/>
        </w:rPr>
        <w:t xml:space="preserve">3.2  </w:t>
      </w:r>
      <w:r>
        <w:t xml:space="preserve">Docker</w:t>
      </w:r>
      <w:bookmarkEnd w:id="21"/>
    </w:p>
    <w:p>
      <w:pPr>
        <w:pStyle w:val="ListParagraph"/>
        <w:numPr>
          <w:ilvl w:val="0"/>
          <w:numId w:val="13"/>
        </w:numPr>
      </w:pPr>
      <w:r>
        <w:t xml:space="preserve">Installez Docker Engine depuis le dépôt officiel (</w:t>
      </w:r>
      <w:r>
        <w:rPr>
          <w:rStyle w:val="CodeCar"/>
        </w:rPr>
        <w:t xml:space="preserve">https://download.docker.com/linux/ubuntu</w:t>
      </w:r>
      <w:r>
        <w:t xml:space="preserve">), en suivant la</w:t>
      </w:r>
      <w:r>
        <w:t xml:space="preserve"> </w:t>
      </w:r>
      <w:r>
        <w:t xml:space="preserve">procédure de docs.docker.com, avec les paquets </w:t>
      </w:r>
      <w:r>
        <w:rPr>
          <w:rStyle w:val="CodeCar"/>
        </w:rPr>
        <w:t xml:space="preserve">docker-ce docker-ce-cli containerd.io docker-buildx-plugin docker-compose-plugin</w:t>
      </w:r>
      <w:r>
        <w:t xml:space="preserve">.</w:t>
      </w:r>
    </w:p>
    <w:p>
      <w:pPr>
        <w:pStyle w:val="ListParagraph"/>
        <w:numPr>
          <w:ilvl w:val="0"/>
          <w:numId w:val="13"/>
        </w:numPr>
      </w:pPr>
      <w:r>
        <w:t xml:space="preserve">Autorisez le compte d'exploitation à utiliser Docker et créez les dossiers de la plateforme :</w:t>
      </w:r>
    </w:p>
    <w:p>
      <w:pPr>
        <w:pStyle w:val="Code"/>
      </w:pPr>
      <w:r>
        <w:t xml:space="preserve">sudo usermod -aG docker ubuntu</w:t>
      </w:r>
    </w:p>
    <w:p>
      <w:pPr>
        <w:pStyle w:val="Code"/>
      </w:pPr>
      <w:r>
        <w:t xml:space="preserve">sudo mkdir -p /opt/read &amp;&amp; sudo chown ubuntu:ubuntu /opt/read</w:t>
      </w:r>
    </w:p>
    <w:p>
      <w:pPr>
        <w:pStyle w:val="Code"/>
        <w:spacing w:after="160"/>
      </w:pPr>
      <w:r>
        <w:t xml:space="preserve">sudo mkdir -p /var/backups/read &amp;&amp; sudo chmod 700 /var/backups/read</w:t>
      </w:r>
    </w:p>
    <w:p>
      <w:pPr>
        <w:pStyle w:val="ListParagraph"/>
        <w:numPr>
          <w:ilvl w:val="0"/>
          <w:numId w:val="13"/>
        </w:numPr>
      </w:pPr>
      <w:r>
        <w:t xml:space="preserve">Déconnectez-vous puis reconnectez-vous pour que l'appartenance au groupe </w:t>
      </w:r>
      <w:r>
        <w:rPr>
          <w:rStyle w:val="CodeCar"/>
        </w:rPr>
        <w:t xml:space="preserve">docker</w:t>
      </w:r>
      <w:r>
        <w:t xml:space="preserve"> prenne effet, et vérifiez :</w:t>
      </w:r>
    </w:p>
    <w:p>
      <w:pPr>
        <w:pStyle w:val="Code"/>
        <w:spacing w:after="160"/>
      </w:pPr>
      <w:r>
        <w:t xml:space="preserve">docker version &amp;&amp; docker compose version</w:t>
      </w:r>
    </w:p>
    <w:p>
      <w:pPr>
        <w:pStyle w:val="Heading2"/>
      </w:pPr>
      <w:bookmarkStart w:name="_s22" w:id="22"/>
      <w:r>
        <w:rPr>
          <w:color w:val="D9480F"/>
        </w:rPr>
        <w:t xml:space="preserve">3.3  </w:t>
      </w:r>
      <w:r>
        <w:t xml:space="preserve">Fichier de réglages</w:t>
      </w:r>
      <w:bookmarkEnd w:id="22"/>
    </w:p>
    <w:p>
      <w:pPr/>
      <w:r>
        <w:t xml:space="preserve">Le fichier </w:t>
      </w:r>
      <w:r>
        <w:rPr>
          <w:rStyle w:val="CodeCar"/>
        </w:rPr>
        <w:t xml:space="preserve">/opt/read/.env</w:t>
      </w:r>
      <w:r>
        <w:t xml:space="preserve"> porte tous les réglages et secrets du serveur. Il est créé une fois, à partir du modèle</w:t>
      </w:r>
      <w:r>
        <w:t xml:space="preserve"> </w:t>
      </w:r>
      <w:r>
        <w:rPr>
          <w:rStyle w:val="CodeCar"/>
        </w:rPr>
        <w:t xml:space="preserve">deploy/.env.example</w:t>
      </w:r>
      <w:r>
        <w:t xml:space="preserve"> du dépôt ; chaque variable est décrite au chapitre </w:t>
      </w:r>
      <w:hyperlink w:history="true" w:anchor="_s26">
        <w:r>
          <w:rPr>
            <w:rStyle w:val="Hyperlink"/>
          </w:rPr>
          <w:t xml:space="preserve">Configuration</w:t>
        </w:r>
      </w:hyperlink>
      <w:r>
        <w:t xml:space="preserve">.</w:t>
      </w:r>
    </w:p>
    <w:p>
      <w:pPr>
        <w:pStyle w:val="ListParagraph"/>
        <w:numPr>
          <w:ilvl w:val="0"/>
          <w:numId w:val="14"/>
        </w:numPr>
      </w:pPr>
      <w:r>
        <w:t xml:space="preserve">Copiez le contenu de </w:t>
      </w:r>
      <w:r>
        <w:rPr>
          <w:rStyle w:val="CodeCar"/>
        </w:rPr>
        <w:t xml:space="preserve">deploy/.env.example</w:t>
      </w:r>
      <w:r>
        <w:t xml:space="preserve"> dans </w:t>
      </w:r>
      <w:r>
        <w:rPr>
          <w:rStyle w:val="CodeCar"/>
        </w:rPr>
        <w:t xml:space="preserve">/opt/read/.env</w:t>
      </w:r>
      <w:r>
        <w:t xml:space="preserve"> et protégez le fichier :</w:t>
      </w:r>
    </w:p>
    <w:p>
      <w:pPr>
        <w:pStyle w:val="Code"/>
        <w:spacing w:after="160"/>
      </w:pPr>
      <w:r>
        <w:t xml:space="preserve">chmod 600 /opt/read/.env</w:t>
      </w:r>
    </w:p>
    <w:p>
      <w:pPr>
        <w:pStyle w:val="ListParagraph"/>
        <w:numPr>
          <w:ilvl w:val="0"/>
          <w:numId w:val="14"/>
        </w:numPr>
      </w:pPr>
      <w:r>
        <w:t xml:space="preserve">Générez un mot de passe différent pour </w:t>
      </w:r>
      <w:r>
        <w:rPr>
          <w:rStyle w:val="CodeCar"/>
        </w:rPr>
        <w:t xml:space="preserve">POSTGRES_PASSWORD</w:t>
      </w:r>
      <w:r>
        <w:t xml:space="preserve">, </w:t>
      </w:r>
      <w:r>
        <w:rPr>
          <w:rStyle w:val="CodeCar"/>
        </w:rPr>
        <w:t xml:space="preserve">POSTGRES_APP_PASSWORD</w:t>
      </w:r>
      <w:r>
        <w:t xml:space="preserve"> et </w:t>
      </w:r>
      <w:r>
        <w:rPr>
          <w:rStyle w:val="CodeCar"/>
        </w:rPr>
        <w:t xml:space="preserve">ADMIN_MOT_DE_PASSE</w:t>
      </w:r>
      <w:r>
        <w:t xml:space="preserve">, par</w:t>
      </w:r>
      <w:r>
        <w:t xml:space="preserve"> </w:t>
      </w:r>
      <w:r>
        <w:t xml:space="preserve">exemple :</w:t>
      </w:r>
    </w:p>
    <w:p>
      <w:pPr>
        <w:pStyle w:val="Code"/>
        <w:spacing w:after="160"/>
      </w:pPr>
      <w:r>
        <w:t xml:space="preserve">openssl rand -base64 48 | tr -dc 'A-Za-z0-9' | head -c 32; echo</w:t>
      </w:r>
    </w:p>
    <w:p>
      <w:pPr>
        <w:ind w:left="360"/>
      </w:pPr>
      <w:r>
        <w:t xml:space="preserve">Le mot de passe de l'administrateur doit compter au moins 8 caractères dont un chiffre.</w:t>
      </w:r>
    </w:p>
    <w:p>
      <w:pPr>
        <w:pStyle w:val="ListParagraph"/>
        <w:numPr>
          <w:ilvl w:val="0"/>
          <w:numId w:val="14"/>
        </w:numPr>
      </w:pPr>
      <w:r>
        <w:t xml:space="preserve">Réglez au minimum :</w:t>
      </w:r>
    </w:p>
    <w:tbl>
      <w:tblPr>
        <w:tblW w:w="5000" w:type="pct"/>
        <w:tblBorders>
          <w:top w:val="single" w:color="DFE4EC" w:sz="4"/>
          <w:bottom w:val="single" w:color="DFE4EC" w:sz="4"/>
          <w:left w:val="nil"/>
          <w:right w:val="nil"/>
          <w:insideH w:val="single" w:color="DFE4EC" w:sz="4"/>
          <w:insideV w:val="nil"/>
        </w:tblBorders>
        <w:tblLayout w:type="fixed"/>
        <w:tblCellMar>
          <w:top w:w="50" w:type="dxa"/>
          <w:left w:w="100" w:type="dxa"/>
          <w:bottom w:w="50" w:type="dxa"/>
          <w:right w:w="100" w:type="dxa"/>
        </w:tblCellMar>
      </w:tblPr>
      <w:tblGrid>
        <w:gridCol w:w="3846"/>
        <w:gridCol w:w="5791"/>
      </w:tblGrid>
      <w:tr>
        <w:trPr>
          <w:cantSplit/>
          <w:tblHeader/>
        </w:trPr>
        <w:tc>
          <w:tcPr>
            <w:tcW w:w="3846" w:type="dxa"/>
            <w:shd w:val="clear" w:color="auto" w:fill="F4F6FA"/>
          </w:tcPr>
          <w:p>
            <w:pPr>
              <w:pStyle w:val="Tableau"/>
            </w:pPr>
            <w:r>
              <w:rPr>
                <w:b/>
              </w:rPr>
              <w:t xml:space="preserve">Variable</w:t>
            </w:r>
          </w:p>
        </w:tc>
        <w:tc>
          <w:tcPr>
            <w:tcW w:w="5791" w:type="dxa"/>
            <w:shd w:val="clear" w:color="auto" w:fill="F4F6FA"/>
          </w:tcPr>
          <w:p>
            <w:pPr>
              <w:pStyle w:val="Tableau"/>
            </w:pPr>
            <w:r>
              <w:rPr>
                <w:b/>
              </w:rPr>
              <w:t xml:space="preserve">Valeur</w:t>
            </w:r>
          </w:p>
        </w:tc>
      </w:tr>
      <w:tr>
        <w:trPr>
          <w:cantSplit/>
        </w:trPr>
        <w:tc>
          <w:tcPr>
            <w:tcW w:w="3846" w:type="dxa"/>
          </w:tcPr>
          <w:p>
            <w:pPr>
              <w:pStyle w:val="Tableau"/>
            </w:pPr>
            <w:r>
              <w:rPr>
                <w:rStyle w:val="CodeCar"/>
              </w:rPr>
              <w:t xml:space="preserve">SITE_ADDRESS</w:t>
            </w:r>
          </w:p>
        </w:tc>
        <w:tc>
          <w:tcPr>
            <w:tcW w:w="5791" w:type="dxa"/>
          </w:tcPr>
          <w:p>
            <w:pPr>
              <w:pStyle w:val="Tableau"/>
            </w:pPr>
            <w:r>
              <w:rPr>
                <w:rStyle w:val="CodeCar"/>
              </w:rPr>
              <w:t xml:space="preserve">read.example.org</w:t>
            </w:r>
            <w:r>
              <w:t xml:space="preserve"> (le nom de domaine, sans </w:t>
            </w:r>
            <w:r>
              <w:rPr>
                <w:rStyle w:val="CodeCar"/>
              </w:rPr>
              <w:t xml:space="preserve">https://</w:t>
            </w:r>
            <w:r>
              <w:t xml:space="preserve">)</w:t>
            </w:r>
          </w:p>
        </w:tc>
      </w:tr>
      <w:tr>
        <w:trPr>
          <w:cantSplit/>
        </w:trPr>
        <w:tc>
          <w:tcPr>
            <w:tcW w:w="3846" w:type="dxa"/>
          </w:tcPr>
          <w:p>
            <w:pPr>
              <w:pStyle w:val="Tableau"/>
            </w:pPr>
            <w:r>
              <w:rPr>
                <w:rStyle w:val="CodeCar"/>
              </w:rPr>
              <w:t xml:space="preserve">URL_PUBLIQUE</w:t>
            </w:r>
          </w:p>
        </w:tc>
        <w:tc>
          <w:tcPr>
            <w:tcW w:w="5791" w:type="dxa"/>
          </w:tcPr>
          <w:p>
            <w:pPr>
              <w:pStyle w:val="Tableau"/>
            </w:pPr>
            <w:r>
              <w:rPr>
                <w:rStyle w:val="CodeCar"/>
              </w:rPr>
              <w:t xml:space="preserve">https://read.example.org</w:t>
            </w:r>
          </w:p>
        </w:tc>
      </w:tr>
      <w:tr>
        <w:trPr>
          <w:cantSplit/>
        </w:trPr>
        <w:tc>
          <w:tcPr>
            <w:tcW w:w="3846" w:type="dxa"/>
          </w:tcPr>
          <w:p>
            <w:pPr>
              <w:pStyle w:val="Tableau"/>
            </w:pPr>
            <w:r>
              <w:rPr>
                <w:rStyle w:val="CodeCar"/>
              </w:rPr>
              <w:t xml:space="preserve">ADMIN_EMAIL</w:t>
            </w:r>
          </w:p>
        </w:tc>
        <w:tc>
          <w:tcPr>
            <w:tcW w:w="5791" w:type="dxa"/>
          </w:tcPr>
          <w:p>
            <w:pPr>
              <w:pStyle w:val="Tableau"/>
            </w:pPr>
            <w:r>
              <w:t xml:space="preserve">Adresse de la personne qui administrera la plateforme</w:t>
            </w:r>
          </w:p>
        </w:tc>
      </w:tr>
      <w:tr>
        <w:trPr>
          <w:cantSplit/>
        </w:trPr>
        <w:tc>
          <w:tcPr>
            <w:tcW w:w="3846" w:type="dxa"/>
          </w:tcPr>
          <w:p>
            <w:pPr>
              <w:pStyle w:val="Tableau"/>
            </w:pPr>
            <w:r>
              <w:rPr>
                <w:rStyle w:val="CodeCar"/>
              </w:rPr>
              <w:t xml:space="preserve">ASPNETCORE_ENVIRONMENT</w:t>
            </w:r>
          </w:p>
        </w:tc>
        <w:tc>
          <w:tcPr>
            <w:tcW w:w="5791" w:type="dxa"/>
          </w:tcPr>
          <w:p>
            <w:pPr>
              <w:pStyle w:val="Tableau"/>
            </w:pPr>
            <w:r>
              <w:rPr>
                <w:rStyle w:val="CodeCar"/>
              </w:rPr>
              <w:t xml:space="preserve">Production</w:t>
            </w:r>
          </w:p>
        </w:tc>
      </w:tr>
      <w:tr>
        <w:trPr>
          <w:cantSplit/>
        </w:trPr>
        <w:tc>
          <w:tcPr>
            <w:tcW w:w="3846" w:type="dxa"/>
          </w:tcPr>
          <w:p>
            <w:pPr>
              <w:pStyle w:val="Tableau"/>
            </w:pPr>
            <w:r>
              <w:rPr>
                <w:rStyle w:val="CodeCar"/>
              </w:rPr>
              <w:t xml:space="preserve">DEMO_AFFICHER</w:t>
            </w:r>
            <w:r>
              <w:t xml:space="preserve">, </w:t>
            </w:r>
            <w:r>
              <w:rPr>
                <w:rStyle w:val="CodeCar"/>
              </w:rPr>
              <w:t xml:space="preserve">DEMO_DONNEES</w:t>
            </w:r>
          </w:p>
        </w:tc>
        <w:tc>
          <w:tcPr>
            <w:tcW w:w="5791" w:type="dxa"/>
          </w:tcPr>
          <w:p>
            <w:pPr>
              <w:pStyle w:val="Tableau"/>
            </w:pPr>
            <w:r>
              <w:rPr>
                <w:rStyle w:val="CodeCar"/>
              </w:rPr>
              <w:t xml:space="preserve">false</w:t>
            </w:r>
          </w:p>
        </w:tc>
      </w:tr>
      <w:tr>
        <w:trPr>
          <w:cantSplit/>
        </w:trPr>
        <w:tc>
          <w:tcPr>
            <w:tcW w:w="3846" w:type="dxa"/>
          </w:tcPr>
          <w:p>
            <w:pPr>
              <w:pStyle w:val="Tableau"/>
            </w:pPr>
            <w:r>
              <w:rPr>
                <w:rStyle w:val="CodeCar"/>
              </w:rPr>
              <w:t xml:space="preserve">EMAIL_*</w:t>
            </w:r>
          </w:p>
        </w:tc>
        <w:tc>
          <w:tcPr>
            <w:tcW w:w="5791" w:type="dxa"/>
          </w:tcPr>
          <w:p>
            <w:pPr>
              <w:pStyle w:val="Tableau"/>
            </w:pPr>
            <w:r>
              <w:t xml:space="preserve">Le serveur SMTP</w:t>
            </w:r>
          </w:p>
        </w:tc>
      </w:tr>
    </w:tbl>
    <w:p>
      <w:pPr>
        <w:spacing w:before="0" w:after="0"/>
      </w:pPr>
    </w:p>
    <w:tbl>
      <w:tblPr>
        <w:tblW w:w="5000" w:type="pct"/>
        <w:tblCellMar>
          <w:top w:w="100" w:type="dxa"/>
          <w:left w:w="200" w:type="dxa"/>
          <w:bottom w:w="60" w:type="dxa"/>
          <w:right w:w="200" w:type="dxa"/>
        </w:tblCellMar>
      </w:tblPr>
      <w:tr>
        <w:trPr>
          <w:cantSplit/>
        </w:trPr>
        <w:tc>
          <w:tcPr>
            <w:tcW w:w="5000" w:type="pct"/>
            <w:tcBorders>
              <w:left w:val="single" w:color="C0262D" w:sz="24"/>
            </w:tcBorders>
            <w:shd w:val="clear" w:color="auto" w:fill="FDEEEE"/>
          </w:tcPr>
          <w:p>
            <w:pPr>
              <w:pStyle w:val="Encadre"/>
            </w:pPr>
            <w:r>
              <w:rPr>
                <w:b/>
                <w:color w:val="C0262D"/>
              </w:rPr>
              <w:t xml:space="preserve">Danger</w:t>
            </w:r>
          </w:p>
          <w:p>
            <w:pPr>
              <w:pStyle w:val="Encadre"/>
            </w:pPr>
            <w:r>
              <w:t xml:space="preserve">Sur une plateforme réelle, </w:t>
            </w:r>
            <w:r>
              <w:rPr>
                <w:rStyle w:val="CodeCar"/>
              </w:rPr>
              <w:t xml:space="preserve">DEMO_DONNEES</w:t>
            </w:r>
            <w:r>
              <w:t xml:space="preserve"> doit valoir </w:t>
            </w:r>
            <w:r>
              <w:rPr>
                <w:rStyle w:val="CodeCar"/>
              </w:rPr>
              <w:t xml:space="preserve">false</w:t>
            </w:r>
            <w:r>
              <w:t xml:space="preserve"> : à </w:t>
            </w:r>
            <w:r>
              <w:rPr>
                <w:rStyle w:val="CodeCar"/>
              </w:rPr>
              <w:t xml:space="preserve">true</w:t>
            </w:r>
            <w:r>
              <w:t xml:space="preserve">, des données entièrement fictives seraient</w:t>
            </w:r>
            <w:r>
              <w:t xml:space="preserve"> </w:t>
            </w:r>
            <w:r>
              <w:t xml:space="preserve">chargées dans une base vide et mêlées ensuite aux vraies.</w:t>
            </w:r>
          </w:p>
        </w:tc>
      </w:tr>
    </w:tbl>
    <w:p>
      <w:pPr>
        <w:spacing w:before="0" w:after="0"/>
      </w:pPr>
    </w:p>
    <w:p>
      <w:pPr>
        <w:pStyle w:val="Heading2"/>
      </w:pPr>
      <w:bookmarkStart w:name="_s23" w:id="23"/>
      <w:r>
        <w:rPr>
          <w:color w:val="D9480F"/>
        </w:rPr>
        <w:t xml:space="preserve">3.4  </w:t>
      </w:r>
      <w:r>
        <w:t xml:space="preserve">Premier déploiement</w:t>
      </w:r>
      <w:bookmarkEnd w:id="23"/>
    </w:p>
    <w:p>
      <w:pPr/>
      <w:r>
        <w:t xml:space="preserve">Depuis le poste de l'équipe technique, à la racine du dépôt, sur le commit à déployer :</w:t>
      </w:r>
    </w:p>
    <w:p>
      <w:pPr>
        <w:pStyle w:val="Code"/>
        <w:spacing w:after="160"/>
      </w:pPr>
      <w:r>
        <w:t xml:space="preserve">deploy/deployer.sh &lt;alias-ssh&gt;</w:t>
      </w:r>
    </w:p>
    <w:p>
      <w:pPr/>
      <w:r>
        <w:t xml:space="preserve">Sous Windows (Git Bash), passez par le client OpenSSH du système, qui voit l'agent de clés :</w:t>
      </w:r>
    </w:p>
    <w:p>
      <w:pPr>
        <w:pStyle w:val="Code"/>
        <w:spacing w:after="160"/>
      </w:pPr>
      <w:r>
        <w:t xml:space="preserve">SSH=/c/Windows/System32/OpenSSH/ssh.exe deploy/deployer.sh &lt;alias-ssh&gt;</w:t>
      </w:r>
    </w:p>
    <w:p>
      <w:pPr/>
      <w:r>
        <w:t xml:space="preserve">Le script envoie le code du commit courant dans </w:t>
      </w:r>
      <w:r>
        <w:rPr>
          <w:rStyle w:val="CodeCar"/>
        </w:rPr>
        <w:t xml:space="preserve">/opt/read/code</w:t>
      </w:r>
      <w:r>
        <w:t xml:space="preserve">, lie </w:t>
      </w:r>
      <w:r>
        <w:rPr>
          <w:rStyle w:val="CodeCar"/>
        </w:rPr>
        <w:t xml:space="preserve">/opt/read/.env</w:t>
      </w:r>
      <w:r>
        <w:t xml:space="preserve">, puis lance la construction et</w:t>
      </w:r>
      <w:r>
        <w:t xml:space="preserve"> </w:t>
      </w:r>
      <w:r>
        <w:t xml:space="preserve">le démarrage en arrière-plan. La première construction télécharge le SDK .NET et les paquets NuGet (une dizaine de</w:t>
      </w:r>
      <w:r>
        <w:t xml:space="preserve"> </w:t>
      </w:r>
      <w:r>
        <w:t xml:space="preserve">minutes). Suivez-la sur le serveur :</w:t>
      </w:r>
    </w:p>
    <w:p>
      <w:pPr>
        <w:pStyle w:val="Code"/>
        <w:spacing w:after="160"/>
      </w:pPr>
      <w:r>
        <w:t xml:space="preserve">tail -f /opt/read/deploiement.log</w:t>
      </w:r>
    </w:p>
    <w:p>
      <w:pPr/>
      <w:r>
        <w:t xml:space="preserve">Le détail du déploiement est au chapitre </w:t>
      </w:r>
      <w:hyperlink w:history="true" w:anchor="_s35">
        <w:r>
          <w:rPr>
            <w:rStyle w:val="Hyperlink"/>
          </w:rPr>
          <w:t xml:space="preserve">Déploiement et mises à jour</w:t>
        </w:r>
      </w:hyperlink>
      <w:r>
        <w:t xml:space="preserve">.</w:t>
      </w:r>
    </w:p>
    <w:p>
      <w:pPr>
        <w:pStyle w:val="Heading2"/>
      </w:pPr>
      <w:bookmarkStart w:name="_s24" w:id="24"/>
      <w:r>
        <w:rPr>
          <w:color w:val="D9480F"/>
        </w:rPr>
        <w:t xml:space="preserve">3.5  </w:t>
      </w:r>
      <w:r>
        <w:t xml:space="preserve">Vérifications</w:t>
      </w:r>
      <w:bookmarkEnd w:id="24"/>
    </w:p>
    <w:p>
      <w:pPr>
        <w:pStyle w:val="ListParagraph"/>
        <w:numPr>
          <w:ilvl w:val="0"/>
          <w:numId w:val="15"/>
        </w:numPr>
      </w:pPr>
      <w:r>
        <w:t xml:space="preserve">Les conteneurs sont en place : </w:t>
      </w:r>
      <w:r>
        <w:rPr>
          <w:rStyle w:val="CodeCar"/>
        </w:rPr>
        <w:t xml:space="preserve">app</w:t>
      </w:r>
      <w:r>
        <w:t xml:space="preserve"> « healthy », </w:t>
      </w:r>
      <w:r>
        <w:rPr>
          <w:rStyle w:val="CodeCar"/>
        </w:rPr>
        <w:t xml:space="preserve">migrations</w:t>
      </w:r>
      <w:r>
        <w:t xml:space="preserve"> « Exited (0) ».</w:t>
      </w:r>
    </w:p>
    <w:p>
      <w:pPr>
        <w:pStyle w:val="Code"/>
        <w:spacing w:after="160"/>
      </w:pPr>
      <w:r>
        <w:t xml:space="preserve">cd /opt/read/code &amp;&amp; docker compose ps -a</w:t>
      </w:r>
    </w:p>
    <w:p>
      <w:pPr>
        <w:pStyle w:val="ListParagraph"/>
        <w:numPr>
          <w:ilvl w:val="0"/>
          <w:numId w:val="15"/>
        </w:numPr>
      </w:pPr>
      <w:r>
        <w:t xml:space="preserve">Le site répond en HTTPS sur </w:t>
      </w:r>
      <w:r>
        <w:rPr>
          <w:rStyle w:val="CodeCar"/>
        </w:rPr>
        <w:t xml:space="preserve">https://read.example.org</w:t>
      </w:r>
      <w:r>
        <w:t xml:space="preserve">, et </w:t>
      </w:r>
      <w:r>
        <w:rPr>
          <w:rStyle w:val="CodeCar"/>
        </w:rPr>
        <w:t xml:space="preserve">http://read.example.org</w:t>
      </w:r>
      <w:r>
        <w:t xml:space="preserve"> redirige vers HTTPS.</w:t>
      </w:r>
    </w:p>
    <w:p>
      <w:pPr>
        <w:pStyle w:val="ListParagraph"/>
        <w:numPr>
          <w:ilvl w:val="0"/>
          <w:numId w:val="15"/>
        </w:numPr>
      </w:pPr>
      <w:r>
        <w:t xml:space="preserve">L'état de santé n'est pas public : </w:t>
      </w:r>
      <w:r>
        <w:rPr>
          <w:rStyle w:val="CodeCar"/>
        </w:rPr>
        <w:t xml:space="preserve">https://read.example.org/health</w:t>
      </w:r>
      <w:r>
        <w:t xml:space="preserve"> répond 404.</w:t>
      </w:r>
    </w:p>
    <w:p>
      <w:pPr>
        <w:pStyle w:val="ListParagraph"/>
        <w:numPr>
          <w:ilvl w:val="0"/>
          <w:numId w:val="15"/>
        </w:numPr>
      </w:pPr>
      <w:r>
        <w:t xml:space="preserve">L'administrateur se connecte avec </w:t>
      </w:r>
      <w:r>
        <w:rPr>
          <w:rStyle w:val="CodeCar"/>
        </w:rPr>
        <w:t xml:space="preserve">ADMIN_EMAIL</w:t>
      </w:r>
      <w:r>
        <w:t xml:space="preserve"> et </w:t>
      </w:r>
      <w:r>
        <w:rPr>
          <w:rStyle w:val="CodeCar"/>
        </w:rPr>
        <w:t xml:space="preserve">ADMIN_MOT_DE_PASSE</w:t>
      </w:r>
      <w:r>
        <w:t xml:space="preserve"> ; la plateforme lui demande aussitôt de</w:t>
      </w:r>
      <w:r>
        <w:t xml:space="preserve"> </w:t>
      </w:r>
      <w:r>
        <w:t xml:space="preserve">choisir un nouveau mot de passe.</w:t>
      </w:r>
    </w:p>
    <w:p>
      <w:pPr>
        <w:pStyle w:val="ListParagraph"/>
        <w:numPr>
          <w:ilvl w:val="0"/>
          <w:numId w:val="15"/>
        </w:numPr>
      </w:pPr>
      <w:r>
        <w:t xml:space="preserve">Videz ensuite </w:t>
      </w:r>
      <w:r>
        <w:rPr>
          <w:rStyle w:val="CodeCar"/>
        </w:rPr>
        <w:t xml:space="preserve">ADMIN_MOT_DE_PASSE</w:t>
      </w:r>
      <w:r>
        <w:t xml:space="preserve"> dans </w:t>
      </w:r>
      <w:r>
        <w:rPr>
          <w:rStyle w:val="CodeCar"/>
        </w:rPr>
        <w:t xml:space="preserve">/opt/read/.env</w:t>
      </w:r>
      <w:r>
        <w:t xml:space="preserve"> : il ne sert qu'à la création du premier administrateur.</w:t>
      </w:r>
    </w:p>
    <w:p>
      <w:pPr>
        <w:pStyle w:val="ListParagraph"/>
        <w:numPr>
          <w:ilvl w:val="0"/>
          <w:numId w:val="15"/>
        </w:numPr>
      </w:pPr>
      <w:r>
        <w:t xml:space="preserve">Essayez l'envoi d'un e-mail : « Mot de passe oublié » sur la page de connexion, pour le compte administrateur.</w:t>
      </w:r>
    </w:p>
    <w:p>
      <w:pPr>
        <w:pStyle w:val="Heading2"/>
      </w:pPr>
      <w:bookmarkStart w:name="_s25" w:id="25"/>
      <w:r>
        <w:rPr>
          <w:color w:val="D9480F"/>
        </w:rPr>
        <w:t xml:space="preserve">3.6  </w:t>
      </w:r>
      <w:r>
        <w:t xml:space="preserve">Après l'installation</w:t>
      </w:r>
      <w:bookmarkEnd w:id="25"/>
    </w:p>
    <w:p>
      <w:pPr>
        <w:pStyle w:val="ListParagraph"/>
        <w:numPr>
          <w:ilvl w:val="0"/>
          <w:numId w:val="1"/>
        </w:numPr>
      </w:pPr>
      <w:r>
        <w:t xml:space="preserve">Activez la sauvegarde quotidienne et la copie hors serveur</w:t>
      </w:r>
      <w:r>
        <w:t xml:space="preserve"> </w:t>
      </w:r>
      <w:r>
        <w:t xml:space="preserve">(</w:t>
      </w:r>
      <w:hyperlink w:history="true" w:anchor="_s42">
        <w:r>
          <w:rPr>
            <w:rStyle w:val="Hyperlink"/>
          </w:rPr>
          <w:t xml:space="preserve">Sauvegarde et restauration</w:t>
        </w:r>
      </w:hyperlink>
      <w:r>
        <w:t xml:space="preserve">), puis faites une restauration d'essai.</w:t>
      </w:r>
    </w:p>
    <w:p>
      <w:pPr>
        <w:pStyle w:val="ListParagraph"/>
        <w:numPr>
          <w:ilvl w:val="0"/>
          <w:numId w:val="1"/>
        </w:numPr>
      </w:pPr>
      <w:r>
        <w:t xml:space="preserve">Mettez en place une surveillance de disponibilité (</w:t>
      </w:r>
      <w:hyperlink w:history="true" w:anchor="_s54">
        <w:r>
          <w:rPr>
            <w:rStyle w:val="Hyperlink"/>
          </w:rPr>
          <w:t xml:space="preserve">Supervision</w:t>
        </w:r>
      </w:hyperlink>
      <w:r>
        <w:t xml:space="preserve">).</w:t>
      </w:r>
    </w:p>
    <w:p>
      <w:pPr>
        <w:pStyle w:val="ListParagraph"/>
        <w:numPr>
          <w:ilvl w:val="0"/>
          <w:numId w:val="1"/>
        </w:numPr>
      </w:pPr>
      <w:r>
        <w:t xml:space="preserve">Confiez la suite à l'administrateur fonctionnel : paramètres, logo, comptes, référentiels</w:t>
      </w:r>
      <w:r>
        <w:t xml:space="preserve"> </w:t>
      </w:r>
      <w:r>
        <w:t xml:space="preserve">(</w:t>
      </w:r>
      <w:hyperlink w:history="true" w:anchor="_s91">
        <w:r>
          <w:rPr>
            <w:rStyle w:val="Hyperlink"/>
          </w:rPr>
          <w:t xml:space="preserve">Guide de l'administrateur</w:t>
        </w:r>
      </w:hyperlink>
      <w:r>
        <w:t xml:space="preserve">).</w:t>
      </w:r>
    </w:p>
    <w:p>
      <w:pPr>
        <w:pStyle w:val="Surtitre"/>
      </w:pPr>
      <w:r>
        <w:t xml:space="preserve">CHAPITRE 4</w:t>
      </w:r>
    </w:p>
    <w:p>
      <w:pPr>
        <w:pStyle w:val="Heading1"/>
      </w:pPr>
      <w:bookmarkStart w:name="_s26" w:id="26"/>
      <w:r>
        <w:t xml:space="preserve">Configuration</w:t>
      </w:r>
      <w:bookmarkEnd w:id="26"/>
    </w:p>
    <w:p>
      <w:pPr>
        <w:pStyle w:val="Chapeau"/>
      </w:pPr>
      <w:r>
        <w:t xml:space="preserve">Toutes les variables du fichier de réglages et les réglages avancés de l'application, avec leur valeur par défaut et leur effet.</w:t>
      </w:r>
    </w:p>
    <w:p>
      <w:pPr>
        <w:pStyle w:val="Note"/>
      </w:pPr>
      <w:r>
        <w:t xml:space="preserve">Concerne : </w:t>
      </w:r>
      <w:r>
        <w:rPr>
          <w:b/>
        </w:rPr>
        <w:t xml:space="preserve">Équipe technique</w:t>
      </w:r>
    </w:p>
    <w:p>
      <w:pPr/>
      <w:r>
        <w:t xml:space="preserve">La plateforme se règle à deux niveaux :</w:t>
      </w:r>
    </w:p>
    <w:p>
      <w:pPr>
        <w:pStyle w:val="ListParagraph"/>
        <w:numPr>
          <w:ilvl w:val="0"/>
          <w:numId w:val="1"/>
        </w:numPr>
      </w:pPr>
      <w:r>
        <w:t xml:space="preserve">le fichier </w:t>
      </w:r>
      <w:r>
        <w:rPr>
          <w:rStyle w:val="CodeCar"/>
          <w:b/>
        </w:rPr>
        <w:t xml:space="preserve">/opt/read/.env</w:t>
      </w:r>
      <w:r>
        <w:t xml:space="preserve"> du serveur (modèle : </w:t>
      </w:r>
      <w:r>
        <w:rPr>
          <w:rStyle w:val="CodeCar"/>
        </w:rPr>
        <w:t xml:space="preserve">deploy/.env.example</w:t>
      </w:r>
      <w:r>
        <w:t xml:space="preserve">), lu par Docker Compose ;</w:t>
      </w:r>
    </w:p>
    <w:p>
      <w:pPr>
        <w:pStyle w:val="ListParagraph"/>
        <w:numPr>
          <w:ilvl w:val="0"/>
          <w:numId w:val="1"/>
        </w:numPr>
      </w:pPr>
      <w:r>
        <w:t xml:space="preserve">des </w:t>
      </w:r>
      <w:r>
        <w:rPr>
          <w:b/>
        </w:rPr>
        <w:t xml:space="preserve">réglages avancés</w:t>
      </w:r>
      <w:r>
        <w:t xml:space="preserve"> de l'application, rarement utiles, au format </w:t>
      </w:r>
      <w:r>
        <w:rPr>
          <w:rStyle w:val="CodeCar"/>
        </w:rPr>
        <w:t xml:space="preserve">Section__Cle</w:t>
      </w:r>
      <w:r>
        <w:t xml:space="preserve">.</w:t>
      </w:r>
    </w:p>
    <w:p>
      <w:pPr/>
      <w:r>
        <w:t xml:space="preserve">Les réglages fonctionnels (seuil de masquage du portail, saisie par les organisations, conservation des listes de</w:t>
      </w:r>
      <w:r>
        <w:t xml:space="preserve"> </w:t>
      </w:r>
      <w:r>
        <w:t xml:space="preserve">présence, logo) ne sont pas ici : l'administrateur les change dans l'écran </w:t>
      </w:r>
      <w:r>
        <w:rPr>
          <w:b/>
        </w:rPr>
        <w:t xml:space="preserve">Paramètres</w:t>
      </w:r>
      <w:r>
        <w:t xml:space="preserve"> de la plateforme, sans</w:t>
      </w:r>
      <w:r>
        <w:t xml:space="preserve"> </w:t>
      </w:r>
      <w:r>
        <w:t xml:space="preserve">redémarrage (</w:t>
      </w:r>
      <w:hyperlink w:history="true" w:anchor="_s92">
        <w:r>
          <w:rPr>
            <w:rStyle w:val="Hyperlink"/>
          </w:rPr>
          <w:t xml:space="preserve">Guide de l'administrateur</w:t>
        </w:r>
      </w:hyperlink>
      <w:r>
        <w:t xml:space="preserve">).</w:t>
      </w:r>
    </w:p>
    <w:p>
      <w:pPr>
        <w:pStyle w:val="Heading2"/>
      </w:pPr>
      <w:bookmarkStart w:name="_s27" w:id="27"/>
      <w:r>
        <w:rPr>
          <w:color w:val="D9480F"/>
        </w:rPr>
        <w:t xml:space="preserve">4.1  </w:t>
      </w:r>
      <w:r>
        <w:t xml:space="preserve">Appliquer un changement</w:t>
      </w:r>
      <w:bookmarkEnd w:id="27"/>
    </w:p>
    <w:p>
      <w:pPr/>
      <w:r>
        <w:t xml:space="preserve">Après une modification de </w:t>
      </w:r>
      <w:r>
        <w:rPr>
          <w:rStyle w:val="CodeCar"/>
        </w:rPr>
        <w:t xml:space="preserve">/opt/read/.env</w:t>
      </w:r>
      <w:r>
        <w:t xml:space="preserve">, recréez les conteneurs concernés :</w:t>
      </w:r>
    </w:p>
    <w:p>
      <w:pPr>
        <w:pStyle w:val="Code"/>
      </w:pPr>
      <w:r>
        <w:t xml:space="preserve">cd /opt/read/code</w:t>
      </w:r>
    </w:p>
    <w:p>
      <w:pPr>
        <w:pStyle w:val="Code"/>
        <w:spacing w:after="160"/>
      </w:pPr>
      <w:r>
        <w:t xml:space="preserve">docker compose up -d</w:t>
      </w:r>
    </w:p>
    <w:p>
      <w:pPr/>
      <w:r>
        <w:t xml:space="preserve">Compose recrée seulement les services dont la configuration a changé. Une reconstruction de l'image n'est pas</w:t>
      </w:r>
      <w:r>
        <w:t xml:space="preserve"> </w:t>
      </w:r>
      <w:r>
        <w:t xml:space="preserve">nécessaire.</w:t>
      </w:r>
    </w:p>
    <w:tbl>
      <w:tblPr>
        <w:tblW w:w="5000" w:type="pct"/>
        <w:tblCellMar>
          <w:top w:w="100" w:type="dxa"/>
          <w:left w:w="200" w:type="dxa"/>
          <w:bottom w:w="60" w:type="dxa"/>
          <w:right w:w="200" w:type="dxa"/>
        </w:tblCellMar>
      </w:tblPr>
      <w:tr>
        <w:trPr>
          <w:cantSplit/>
        </w:trPr>
        <w:tc>
          <w:tcPr>
            <w:tcW w:w="5000" w:type="pct"/>
            <w:tcBorders>
              <w:left w:val="single" w:color="7A3FD1" w:sz="24"/>
            </w:tcBorders>
            <w:shd w:val="clear" w:color="auto" w:fill="F4EFFC"/>
          </w:tcPr>
          <w:p>
            <w:pPr>
              <w:pStyle w:val="Encadre"/>
            </w:pPr>
            <w:r>
              <w:rPr>
                <w:b/>
                <w:color w:val="7A3FD1"/>
              </w:rPr>
              <w:t xml:space="preserve">Important</w:t>
            </w:r>
          </w:p>
          <w:p>
            <w:pPr>
              <w:pStyle w:val="Encadre"/>
            </w:pPr>
            <w:r>
              <w:rPr>
                <w:rStyle w:val="CodeCar"/>
              </w:rPr>
              <w:t xml:space="preserve">.env</w:t>
            </w:r>
            <w:r>
              <w:t xml:space="preserve"> suit la syntaxe de Docker Compose, pas celle de bash : une ligne par variable, </w:t>
            </w:r>
            <w:r>
              <w:rPr>
                <w:rStyle w:val="CodeCar"/>
              </w:rPr>
              <w:t xml:space="preserve">CLE=valeur</w:t>
            </w:r>
            <w:r>
              <w:t xml:space="preserve">, sans espace</w:t>
            </w:r>
            <w:r>
              <w:t xml:space="preserve"> </w:t>
            </w:r>
            <w:r>
              <w:t xml:space="preserve">autour du signe égal. Les scripts du dossier </w:t>
            </w:r>
            <w:r>
              <w:rPr>
                <w:rStyle w:val="CodeCar"/>
              </w:rPr>
              <w:t xml:space="preserve">deploy/</w:t>
            </w:r>
            <w:r>
              <w:t xml:space="preserve"> lisent les clés une à une ; ne « sourcez » jamais ce fichier</w:t>
            </w:r>
            <w:r>
              <w:t xml:space="preserve"> </w:t>
            </w:r>
            <w:r>
              <w:t xml:space="preserve">dans un shell (une valeur comme </w:t>
            </w:r>
            <w:r>
              <w:rPr>
                <w:rStyle w:val="CodeCar"/>
              </w:rPr>
              <w:t xml:space="preserve">Plateforme READ</w:t>
            </w:r>
            <w:r>
              <w:t xml:space="preserve"> y serait exécutée).</w:t>
            </w:r>
          </w:p>
        </w:tc>
      </w:tr>
    </w:tbl>
    <w:p>
      <w:pPr>
        <w:spacing w:before="0" w:after="0"/>
      </w:pPr>
    </w:p>
    <w:p>
      <w:pPr>
        <w:pStyle w:val="Heading2"/>
      </w:pPr>
      <w:bookmarkStart w:name="_s28" w:id="28"/>
      <w:r>
        <w:rPr>
          <w:color w:val="D9480F"/>
        </w:rPr>
        <w:t xml:space="preserve">4.2  </w:t>
      </w:r>
      <w:r>
        <w:t xml:space="preserve">Base de données</w:t>
      </w:r>
      <w:bookmarkEnd w:id="28"/>
    </w:p>
    <w:tbl>
      <w:tblPr>
        <w:tblW w:w="5000" w:type="pct"/>
        <w:tblBorders>
          <w:top w:val="single" w:color="DFE4EC" w:sz="4"/>
          <w:bottom w:val="single" w:color="DFE4EC" w:sz="4"/>
          <w:left w:val="nil"/>
          <w:right w:val="nil"/>
          <w:insideH w:val="single" w:color="DFE4EC" w:sz="4"/>
          <w:insideV w:val="nil"/>
        </w:tblBorders>
        <w:tblLayout w:type="fixed"/>
        <w:tblCellMar>
          <w:top w:w="50" w:type="dxa"/>
          <w:left w:w="100" w:type="dxa"/>
          <w:bottom w:w="50" w:type="dxa"/>
          <w:right w:w="100" w:type="dxa"/>
        </w:tblCellMar>
      </w:tblPr>
      <w:tblGrid>
        <w:gridCol w:w="2830"/>
        <w:gridCol w:w="1752"/>
        <w:gridCol w:w="5054"/>
      </w:tblGrid>
      <w:tr>
        <w:trPr>
          <w:cantSplit/>
          <w:tblHeader/>
        </w:trPr>
        <w:tc>
          <w:tcPr>
            <w:tcW w:w="2830" w:type="dxa"/>
            <w:shd w:val="clear" w:color="auto" w:fill="F4F6FA"/>
          </w:tcPr>
          <w:p>
            <w:pPr>
              <w:pStyle w:val="Tableau"/>
            </w:pPr>
            <w:r>
              <w:rPr>
                <w:b/>
              </w:rPr>
              <w:t xml:space="preserve">Variable</w:t>
            </w:r>
          </w:p>
        </w:tc>
        <w:tc>
          <w:tcPr>
            <w:tcW w:w="1752" w:type="dxa"/>
            <w:shd w:val="clear" w:color="auto" w:fill="F4F6FA"/>
          </w:tcPr>
          <w:p>
            <w:pPr>
              <w:pStyle w:val="Tableau"/>
            </w:pPr>
            <w:r>
              <w:rPr>
                <w:b/>
              </w:rPr>
              <w:t xml:space="preserve">Défaut</w:t>
            </w:r>
          </w:p>
        </w:tc>
        <w:tc>
          <w:tcPr>
            <w:tcW w:w="5054" w:type="dxa"/>
            <w:shd w:val="clear" w:color="auto" w:fill="F4F6FA"/>
          </w:tcPr>
          <w:p>
            <w:pPr>
              <w:pStyle w:val="Tableau"/>
            </w:pPr>
            <w:r>
              <w:rPr>
                <w:b/>
              </w:rPr>
              <w:t xml:space="preserve">Effet</w:t>
            </w:r>
          </w:p>
        </w:tc>
      </w:tr>
      <w:tr>
        <w:trPr>
          <w:cantSplit/>
        </w:trPr>
        <w:tc>
          <w:tcPr>
            <w:tcW w:w="2830" w:type="dxa"/>
          </w:tcPr>
          <w:p>
            <w:pPr>
              <w:pStyle w:val="Tableau"/>
            </w:pPr>
            <w:r>
              <w:rPr>
                <w:rStyle w:val="CodeCar"/>
              </w:rPr>
              <w:t xml:space="preserve">POSTGRES_DB</w:t>
            </w:r>
          </w:p>
        </w:tc>
        <w:tc>
          <w:tcPr>
            <w:tcW w:w="1752" w:type="dxa"/>
          </w:tcPr>
          <w:p>
            <w:pPr>
              <w:pStyle w:val="Tableau"/>
            </w:pPr>
            <w:r>
              <w:rPr>
                <w:rStyle w:val="CodeCar"/>
              </w:rPr>
              <w:t xml:space="preserve">read</w:t>
            </w:r>
          </w:p>
        </w:tc>
        <w:tc>
          <w:tcPr>
            <w:tcW w:w="5054" w:type="dxa"/>
          </w:tcPr>
          <w:p>
            <w:pPr>
              <w:pStyle w:val="Tableau"/>
            </w:pPr>
            <w:r>
              <w:t xml:space="preserve">Nom de la base</w:t>
            </w:r>
          </w:p>
        </w:tc>
      </w:tr>
      <w:tr>
        <w:trPr>
          <w:cantSplit/>
        </w:trPr>
        <w:tc>
          <w:tcPr>
            <w:tcW w:w="2830" w:type="dxa"/>
          </w:tcPr>
          <w:p>
            <w:pPr>
              <w:pStyle w:val="Tableau"/>
            </w:pPr>
            <w:r>
              <w:rPr>
                <w:rStyle w:val="CodeCar"/>
              </w:rPr>
              <w:t xml:space="preserve">POSTGRES_USER</w:t>
            </w:r>
          </w:p>
        </w:tc>
        <w:tc>
          <w:tcPr>
            <w:tcW w:w="1752" w:type="dxa"/>
          </w:tcPr>
          <w:p>
            <w:pPr>
              <w:pStyle w:val="Tableau"/>
            </w:pPr>
            <w:r>
              <w:rPr>
                <w:rStyle w:val="CodeCar"/>
              </w:rPr>
              <w:t xml:space="preserve">read</w:t>
            </w:r>
          </w:p>
        </w:tc>
        <w:tc>
          <w:tcPr>
            <w:tcW w:w="5054" w:type="dxa"/>
          </w:tcPr>
          <w:p>
            <w:pPr>
              <w:pStyle w:val="Tableau"/>
            </w:pPr>
            <w:r>
              <w:t xml:space="preserve">Compte propriétaire de la base. Il ne sert qu'au service </w:t>
            </w:r>
            <w:r>
              <w:rPr>
                <w:rStyle w:val="CodeCar"/>
              </w:rPr>
              <w:t xml:space="preserve">migrations</w:t>
            </w:r>
            <w:r>
              <w:t xml:space="preserve"> et aux scripts de sauvegarde et de restauration</w:t>
            </w:r>
          </w:p>
        </w:tc>
      </w:tr>
      <w:tr>
        <w:trPr>
          <w:cantSplit/>
        </w:trPr>
        <w:tc>
          <w:tcPr>
            <w:tcW w:w="2830" w:type="dxa"/>
          </w:tcPr>
          <w:p>
            <w:pPr>
              <w:pStyle w:val="Tableau"/>
            </w:pPr>
            <w:r>
              <w:rPr>
                <w:rStyle w:val="CodeCar"/>
              </w:rPr>
              <w:t xml:space="preserve">POSTGRES_PASSWORD</w:t>
            </w:r>
          </w:p>
        </w:tc>
        <w:tc>
          <w:tcPr>
            <w:tcW w:w="1752" w:type="dxa"/>
          </w:tcPr>
          <w:p>
            <w:pPr>
              <w:pStyle w:val="Tableau"/>
            </w:pPr>
            <w:r>
              <w:t xml:space="preserve">aucun (obligatoire)</w:t>
            </w:r>
          </w:p>
        </w:tc>
        <w:tc>
          <w:tcPr>
            <w:tcW w:w="5054" w:type="dxa"/>
          </w:tcPr>
          <w:p>
            <w:pPr>
              <w:pStyle w:val="Tableau"/>
            </w:pPr>
            <w:r>
              <w:t xml:space="preserve">Mot de passe du compte propriétaire. Fixé à la création du volume </w:t>
            </w:r>
            <w:r>
              <w:rPr>
                <w:rStyle w:val="CodeCar"/>
              </w:rPr>
              <w:t xml:space="preserve">pgdata</w:t>
            </w:r>
            <w:r>
              <w:t xml:space="preserve"> : le changer ensuite dans </w:t>
            </w:r>
            <w:r>
              <w:rPr>
                <w:rStyle w:val="CodeCar"/>
              </w:rPr>
              <w:t xml:space="preserve">.env</w:t>
            </w:r>
            <w:r>
              <w:t xml:space="preserve"> ne change pas le mot de passe en base</w:t>
            </w:r>
          </w:p>
        </w:tc>
      </w:tr>
      <w:tr>
        <w:trPr>
          <w:cantSplit/>
        </w:trPr>
        <w:tc>
          <w:tcPr>
            <w:tcW w:w="2830" w:type="dxa"/>
          </w:tcPr>
          <w:p>
            <w:pPr>
              <w:pStyle w:val="Tableau"/>
            </w:pPr>
            <w:r>
              <w:rPr>
                <w:rStyle w:val="CodeCar"/>
              </w:rPr>
              <w:t xml:space="preserve">POSTGRES_APP_USER</w:t>
            </w:r>
          </w:p>
        </w:tc>
        <w:tc>
          <w:tcPr>
            <w:tcW w:w="1752" w:type="dxa"/>
          </w:tcPr>
          <w:p>
            <w:pPr>
              <w:pStyle w:val="Tableau"/>
            </w:pPr>
            <w:r>
              <w:rPr>
                <w:rStyle w:val="CodeCar"/>
              </w:rPr>
              <w:t xml:space="preserve">read_app</w:t>
            </w:r>
          </w:p>
        </w:tc>
        <w:tc>
          <w:tcPr>
            <w:tcW w:w="5054" w:type="dxa"/>
          </w:tcPr>
          <w:p>
            <w:pPr>
              <w:pStyle w:val="Tableau"/>
            </w:pPr>
            <w:r>
              <w:t xml:space="preserve">Rôle de connexion de l'application : lecture et écriture des tables, journal d'audit en ajout seul, aucun droit de propriétaire. Créé par le service </w:t>
            </w:r>
            <w:r>
              <w:rPr>
                <w:rStyle w:val="CodeCar"/>
              </w:rPr>
              <w:t xml:space="preserve">migrations</w:t>
            </w:r>
          </w:p>
        </w:tc>
      </w:tr>
      <w:tr>
        <w:trPr>
          <w:cantSplit/>
        </w:trPr>
        <w:tc>
          <w:tcPr>
            <w:tcW w:w="2830" w:type="dxa"/>
          </w:tcPr>
          <w:p>
            <w:pPr>
              <w:pStyle w:val="Tableau"/>
            </w:pPr>
            <w:r>
              <w:rPr>
                <w:rStyle w:val="CodeCar"/>
              </w:rPr>
              <w:t xml:space="preserve">POSTGRES_APP_PASSWORD</w:t>
            </w:r>
          </w:p>
        </w:tc>
        <w:tc>
          <w:tcPr>
            <w:tcW w:w="1752" w:type="dxa"/>
          </w:tcPr>
          <w:p>
            <w:pPr>
              <w:pStyle w:val="Tableau"/>
            </w:pPr>
            <w:r>
              <w:t xml:space="preserve">aucun (obligatoire)</w:t>
            </w:r>
          </w:p>
        </w:tc>
        <w:tc>
          <w:tcPr>
            <w:tcW w:w="5054" w:type="dxa"/>
          </w:tcPr>
          <w:p>
            <w:pPr>
              <w:pStyle w:val="Tableau"/>
            </w:pPr>
            <w:r>
              <w:t xml:space="preserve">Mot de passe de ce rôle, différent du précédent. Réappliqué à chaque </w:t>
            </w:r>
            <w:r>
              <w:rPr>
                <w:rStyle w:val="CodeCar"/>
              </w:rPr>
              <w:t xml:space="preserve">docker compose up</w:t>
            </w:r>
            <w:r>
              <w:t xml:space="preserve"> : il peut être changé librement</w:t>
            </w:r>
          </w:p>
        </w:tc>
      </w:tr>
    </w:tbl>
    <w:p>
      <w:pPr>
        <w:spacing w:before="0" w:after="0"/>
      </w:pPr>
    </w:p>
    <w:p>
      <w:pPr/>
      <w:r>
        <w:t xml:space="preserve">Sans </w:t>
      </w:r>
      <w:r>
        <w:rPr>
          <w:rStyle w:val="CodeCar"/>
        </w:rPr>
        <w:t xml:space="preserve">POSTGRES_PASSWORD</w:t>
      </w:r>
      <w:r>
        <w:t xml:space="preserve"> ou </w:t>
      </w:r>
      <w:r>
        <w:rPr>
          <w:rStyle w:val="CodeCar"/>
        </w:rPr>
        <w:t xml:space="preserve">POSTGRES_APP_PASSWORD</w:t>
      </w:r>
      <w:r>
        <w:t xml:space="preserve">, </w:t>
      </w:r>
      <w:r>
        <w:rPr>
          <w:rStyle w:val="CodeCar"/>
        </w:rPr>
        <w:t xml:space="preserve">docker compose up</w:t>
      </w:r>
      <w:r>
        <w:t xml:space="preserve"> s'arrête avec un message explicite.</w:t>
      </w:r>
    </w:p>
    <w:tbl>
      <w:tblPr>
        <w:tblW w:w="5000" w:type="pct"/>
        <w:tblCellMar>
          <w:top w:w="100" w:type="dxa"/>
          <w:left w:w="200" w:type="dxa"/>
          <w:bottom w:w="60" w:type="dxa"/>
          <w:right w:w="200" w:type="dxa"/>
        </w:tblCellMar>
      </w:tblPr>
      <w:tr>
        <w:trPr>
          <w:cantSplit/>
        </w:trPr>
        <w:tc>
          <w:tcPr>
            <w:tcW w:w="5000" w:type="pct"/>
            <w:tcBorders>
              <w:left w:val="single" w:color="A15C00" w:sz="24"/>
            </w:tcBorders>
            <w:shd w:val="clear" w:color="auto" w:fill="FFF6E5"/>
          </w:tcPr>
          <w:p>
            <w:pPr>
              <w:pStyle w:val="Encadre"/>
            </w:pPr>
            <w:r>
              <w:rPr>
                <w:b/>
                <w:color w:val="A15C00"/>
              </w:rPr>
              <w:t xml:space="preserve">Attention</w:t>
            </w:r>
          </w:p>
          <w:p>
            <w:pPr>
              <w:pStyle w:val="Encadre"/>
            </w:pPr>
            <w:r>
              <w:t xml:space="preserve">Pour changer </w:t>
            </w:r>
            <w:r>
              <w:rPr>
                <w:rStyle w:val="CodeCar"/>
              </w:rPr>
              <w:t xml:space="preserve">POSTGRES_PASSWORD</w:t>
            </w:r>
            <w:r>
              <w:t xml:space="preserve"> après l'installation, changez d'abord le mot de passe dans PostgreSQL</w:t>
            </w:r>
            <w:r>
              <w:t xml:space="preserve"> </w:t>
            </w:r>
            <w:r>
              <w:t xml:space="preserve">(</w:t>
            </w:r>
            <w:r>
              <w:rPr>
                <w:rStyle w:val="CodeCar"/>
              </w:rPr>
              <w:t xml:space="preserve">docker compose exec db psql -U read -d read -c "ALTER ROLE read PASSWORD '…'"</w:t>
            </w:r>
            <w:r>
              <w:t xml:space="preserve">), puis dans </w:t>
            </w:r>
            <w:r>
              <w:rPr>
                <w:rStyle w:val="CodeCar"/>
              </w:rPr>
              <w:t xml:space="preserve">.env</w:t>
            </w:r>
            <w:r>
              <w:t xml:space="preserve">, puis</w:t>
            </w:r>
            <w:r>
              <w:t xml:space="preserve"> </w:t>
            </w:r>
            <w:r>
              <w:rPr>
                <w:rStyle w:val="CodeCar"/>
              </w:rPr>
              <w:t xml:space="preserve">docker compose up -d</w:t>
            </w:r>
            <w:r>
              <w:t xml:space="preserve">.</w:t>
            </w:r>
          </w:p>
        </w:tc>
      </w:tr>
    </w:tbl>
    <w:p>
      <w:pPr>
        <w:spacing w:before="0" w:after="0"/>
      </w:pPr>
    </w:p>
    <w:p>
      <w:pPr>
        <w:pStyle w:val="Heading2"/>
      </w:pPr>
      <w:bookmarkStart w:name="_s29" w:id="29"/>
      <w:r>
        <w:rPr>
          <w:color w:val="D9480F"/>
        </w:rPr>
        <w:t xml:space="preserve">4.3  </w:t>
      </w:r>
      <w:r>
        <w:t xml:space="preserve">Adresse du site</w:t>
      </w:r>
      <w:bookmarkEnd w:id="29"/>
    </w:p>
    <w:tbl>
      <w:tblPr>
        <w:tblW w:w="5000" w:type="pct"/>
        <w:tblBorders>
          <w:top w:val="single" w:color="DFE4EC" w:sz="4"/>
          <w:bottom w:val="single" w:color="DFE4EC" w:sz="4"/>
          <w:left w:val="nil"/>
          <w:right w:val="nil"/>
          <w:insideH w:val="single" w:color="DFE4EC" w:sz="4"/>
          <w:insideV w:val="nil"/>
        </w:tblBorders>
        <w:tblLayout w:type="fixed"/>
        <w:tblCellMar>
          <w:top w:w="50" w:type="dxa"/>
          <w:left w:w="100" w:type="dxa"/>
          <w:bottom w:w="50" w:type="dxa"/>
          <w:right w:w="100" w:type="dxa"/>
        </w:tblCellMar>
      </w:tblPr>
      <w:tblGrid>
        <w:gridCol w:w="2069"/>
        <w:gridCol w:w="2716"/>
        <w:gridCol w:w="4851"/>
      </w:tblGrid>
      <w:tr>
        <w:trPr>
          <w:cantSplit/>
          <w:tblHeader/>
        </w:trPr>
        <w:tc>
          <w:tcPr>
            <w:tcW w:w="2069" w:type="dxa"/>
            <w:shd w:val="clear" w:color="auto" w:fill="F4F6FA"/>
          </w:tcPr>
          <w:p>
            <w:pPr>
              <w:pStyle w:val="Tableau"/>
            </w:pPr>
            <w:r>
              <w:rPr>
                <w:b/>
              </w:rPr>
              <w:t xml:space="preserve">Variable</w:t>
            </w:r>
          </w:p>
        </w:tc>
        <w:tc>
          <w:tcPr>
            <w:tcW w:w="2716" w:type="dxa"/>
            <w:shd w:val="clear" w:color="auto" w:fill="F4F6FA"/>
          </w:tcPr>
          <w:p>
            <w:pPr>
              <w:pStyle w:val="Tableau"/>
            </w:pPr>
            <w:r>
              <w:rPr>
                <w:b/>
              </w:rPr>
              <w:t xml:space="preserve">Défaut</w:t>
            </w:r>
          </w:p>
        </w:tc>
        <w:tc>
          <w:tcPr>
            <w:tcW w:w="4851" w:type="dxa"/>
            <w:shd w:val="clear" w:color="auto" w:fill="F4F6FA"/>
          </w:tcPr>
          <w:p>
            <w:pPr>
              <w:pStyle w:val="Tableau"/>
            </w:pPr>
            <w:r>
              <w:rPr>
                <w:b/>
              </w:rPr>
              <w:t xml:space="preserve">Effet</w:t>
            </w:r>
          </w:p>
        </w:tc>
      </w:tr>
      <w:tr>
        <w:trPr>
          <w:cantSplit/>
        </w:trPr>
        <w:tc>
          <w:tcPr>
            <w:tcW w:w="2069" w:type="dxa"/>
          </w:tcPr>
          <w:p>
            <w:pPr>
              <w:pStyle w:val="Tableau"/>
            </w:pPr>
            <w:r>
              <w:rPr>
                <w:rStyle w:val="CodeCar"/>
              </w:rPr>
              <w:t xml:space="preserve">SITE_ADDRESS</w:t>
            </w:r>
          </w:p>
        </w:tc>
        <w:tc>
          <w:tcPr>
            <w:tcW w:w="2716" w:type="dxa"/>
          </w:tcPr>
          <w:p>
            <w:pPr>
              <w:pStyle w:val="Tableau"/>
            </w:pPr>
            <w:r>
              <w:rPr>
                <w:rStyle w:val="CodeCar"/>
              </w:rPr>
              <w:t xml:space="preserve">:80</w:t>
            </w:r>
          </w:p>
        </w:tc>
        <w:tc>
          <w:tcPr>
            <w:tcW w:w="4851" w:type="dxa"/>
          </w:tcPr>
          <w:p>
            <w:pPr>
              <w:pStyle w:val="Tableau"/>
            </w:pPr>
            <w:r>
              <w:t xml:space="preserve">Adresse servie par Caddy. Un nom de domaine (</w:t>
            </w:r>
            <w:r>
              <w:rPr>
                <w:rStyle w:val="CodeCar"/>
              </w:rPr>
              <w:t xml:space="preserve">read.example.org</w:t>
            </w:r>
            <w:r>
              <w:t xml:space="preserve">) active le HTTPS automatique et la redirection de HTTP vers HTTPS ; </w:t>
            </w:r>
            <w:r>
              <w:rPr>
                <w:rStyle w:val="CodeCar"/>
              </w:rPr>
              <w:t xml:space="preserve">:80</w:t>
            </w:r>
            <w:r>
              <w:t xml:space="preserve"> sert toute adresse en HTTP simple (poste local seulement)</w:t>
            </w:r>
          </w:p>
        </w:tc>
      </w:tr>
      <w:tr>
        <w:trPr>
          <w:cantSplit/>
        </w:trPr>
        <w:tc>
          <w:tcPr>
            <w:tcW w:w="2069" w:type="dxa"/>
          </w:tcPr>
          <w:p>
            <w:pPr>
              <w:pStyle w:val="Tableau"/>
            </w:pPr>
            <w:r>
              <w:rPr>
                <w:rStyle w:val="CodeCar"/>
              </w:rPr>
              <w:t xml:space="preserve">SITE_REDIRECTION</w:t>
            </w:r>
          </w:p>
        </w:tc>
        <w:tc>
          <w:tcPr>
            <w:tcW w:w="2716" w:type="dxa"/>
          </w:tcPr>
          <w:p>
            <w:pPr>
              <w:pStyle w:val="Tableau"/>
            </w:pPr>
            <w:r>
              <w:t xml:space="preserve">(vide)</w:t>
            </w:r>
          </w:p>
        </w:tc>
        <w:tc>
          <w:tcPr>
            <w:tcW w:w="4851" w:type="dxa"/>
          </w:tcPr>
          <w:p>
            <w:pPr>
              <w:pStyle w:val="Tableau"/>
            </w:pPr>
            <w:r>
              <w:t xml:space="preserve">Ancien nom à rediriger définitivement vers </w:t>
            </w:r>
            <w:r>
              <w:rPr>
                <w:rStyle w:val="CodeCar"/>
              </w:rPr>
              <w:t xml:space="preserve">URL_PUBLIQUE</w:t>
            </w:r>
            <w:r>
              <w:t xml:space="preserve">, chemin et paramètres compris, après un changement de domaine (par exemple le nom fourni par l'hébergeur) ; Caddy garde un certificat pour lui. Vide : aucune redirection</w:t>
            </w:r>
          </w:p>
        </w:tc>
      </w:tr>
      <w:tr>
        <w:trPr>
          <w:cantSplit/>
        </w:trPr>
        <w:tc>
          <w:tcPr>
            <w:tcW w:w="2069" w:type="dxa"/>
          </w:tcPr>
          <w:p>
            <w:pPr>
              <w:pStyle w:val="Tableau"/>
            </w:pPr>
            <w:r>
              <w:rPr>
                <w:rStyle w:val="CodeCar"/>
              </w:rPr>
              <w:t xml:space="preserve">HTTP_PORT</w:t>
            </w:r>
          </w:p>
        </w:tc>
        <w:tc>
          <w:tcPr>
            <w:tcW w:w="2716" w:type="dxa"/>
          </w:tcPr>
          <w:p>
            <w:pPr>
              <w:pStyle w:val="Tableau"/>
            </w:pPr>
            <w:r>
              <w:rPr>
                <w:rStyle w:val="CodeCar"/>
              </w:rPr>
              <w:t xml:space="preserve">80</w:t>
            </w:r>
          </w:p>
        </w:tc>
        <w:tc>
          <w:tcPr>
            <w:tcW w:w="4851" w:type="dxa"/>
          </w:tcPr>
          <w:p>
            <w:pPr>
              <w:pStyle w:val="Tableau"/>
            </w:pPr>
            <w:r>
              <w:t xml:space="preserve">Port HTTP publié sur l'hôte</w:t>
            </w:r>
          </w:p>
        </w:tc>
      </w:tr>
      <w:tr>
        <w:trPr>
          <w:cantSplit/>
        </w:trPr>
        <w:tc>
          <w:tcPr>
            <w:tcW w:w="2069" w:type="dxa"/>
          </w:tcPr>
          <w:p>
            <w:pPr>
              <w:pStyle w:val="Tableau"/>
            </w:pPr>
            <w:r>
              <w:rPr>
                <w:rStyle w:val="CodeCar"/>
              </w:rPr>
              <w:t xml:space="preserve">HTTPS_PORT</w:t>
            </w:r>
          </w:p>
        </w:tc>
        <w:tc>
          <w:tcPr>
            <w:tcW w:w="2716" w:type="dxa"/>
          </w:tcPr>
          <w:p>
            <w:pPr>
              <w:pStyle w:val="Tableau"/>
            </w:pPr>
            <w:r>
              <w:rPr>
                <w:rStyle w:val="CodeCar"/>
              </w:rPr>
              <w:t xml:space="preserve">443</w:t>
            </w:r>
          </w:p>
        </w:tc>
        <w:tc>
          <w:tcPr>
            <w:tcW w:w="4851" w:type="dxa"/>
          </w:tcPr>
          <w:p>
            <w:pPr>
              <w:pStyle w:val="Tableau"/>
            </w:pPr>
            <w:r>
              <w:t xml:space="preserve">Port HTTPS publié sur l'hôte (TCP et UDP)</w:t>
            </w:r>
          </w:p>
        </w:tc>
      </w:tr>
      <w:tr>
        <w:trPr>
          <w:cantSplit/>
        </w:trPr>
        <w:tc>
          <w:tcPr>
            <w:tcW w:w="2069" w:type="dxa"/>
          </w:tcPr>
          <w:p>
            <w:pPr>
              <w:pStyle w:val="Tableau"/>
            </w:pPr>
            <w:r>
              <w:rPr>
                <w:rStyle w:val="CodeCar"/>
              </w:rPr>
              <w:t xml:space="preserve">URL_PUBLIQUE</w:t>
            </w:r>
          </w:p>
        </w:tc>
        <w:tc>
          <w:tcPr>
            <w:tcW w:w="2716" w:type="dxa"/>
          </w:tcPr>
          <w:p>
            <w:pPr>
              <w:pStyle w:val="Tableau"/>
            </w:pPr>
            <w:r>
              <w:rPr>
                <w:rStyle w:val="CodeCar"/>
              </w:rPr>
              <w:t xml:space="preserve">http://localhost:8088</w:t>
            </w:r>
          </w:p>
        </w:tc>
        <w:tc>
          <w:tcPr>
            <w:tcW w:w="4851" w:type="dxa"/>
          </w:tcPr>
          <w:p>
            <w:pPr>
              <w:pStyle w:val="Tableau"/>
            </w:pPr>
            <w:r>
              <w:t xml:space="preserve">Adresse du site écrite dans les e-mails (lien « mot de passe oublié »). Jamais déduite de la requête, pour qu'un lien ne puisse pas être détourné : à régler sur </w:t>
            </w:r>
            <w:r>
              <w:rPr>
                <w:rStyle w:val="CodeCar"/>
              </w:rPr>
              <w:t xml:space="preserve">https://&lt;nom de domaine&gt;</w:t>
            </w:r>
          </w:p>
        </w:tc>
      </w:tr>
    </w:tbl>
    <w:p>
      <w:pPr>
        <w:spacing w:before="0" w:after="0"/>
      </w:pPr>
    </w:p>
    <w:p>
      <w:pPr/>
      <w:r>
        <w:t xml:space="preserve">En production, gardez 80 et 443 : Let's Encrypt valide le domaine sur ces ports.</w:t>
      </w:r>
    </w:p>
    <w:p>
      <w:pPr>
        <w:pStyle w:val="Heading2"/>
      </w:pPr>
      <w:bookmarkStart w:name="_s30" w:id="30"/>
      <w:r>
        <w:rPr>
          <w:color w:val="D9480F"/>
        </w:rPr>
        <w:t xml:space="preserve">4.4  </w:t>
      </w:r>
      <w:r>
        <w:t xml:space="preserve">Application et administrateur initial</w:t>
      </w:r>
      <w:bookmarkEnd w:id="30"/>
    </w:p>
    <w:tbl>
      <w:tblPr>
        <w:tblW w:w="5000" w:type="pct"/>
        <w:tblBorders>
          <w:top w:val="single" w:color="DFE4EC" w:sz="4"/>
          <w:bottom w:val="single" w:color="DFE4EC" w:sz="4"/>
          <w:left w:val="nil"/>
          <w:right w:val="nil"/>
          <w:insideH w:val="single" w:color="DFE4EC" w:sz="4"/>
          <w:insideV w:val="nil"/>
        </w:tblBorders>
        <w:tblLayout w:type="fixed"/>
        <w:tblCellMar>
          <w:top w:w="50" w:type="dxa"/>
          <w:left w:w="100" w:type="dxa"/>
          <w:bottom w:w="50" w:type="dxa"/>
          <w:right w:w="100" w:type="dxa"/>
        </w:tblCellMar>
      </w:tblPr>
      <w:tblGrid>
        <w:gridCol w:w="3574"/>
        <w:gridCol w:w="1276"/>
        <w:gridCol w:w="4787"/>
      </w:tblGrid>
      <w:tr>
        <w:trPr>
          <w:cantSplit/>
          <w:tblHeader/>
        </w:trPr>
        <w:tc>
          <w:tcPr>
            <w:tcW w:w="3574" w:type="dxa"/>
            <w:shd w:val="clear" w:color="auto" w:fill="F4F6FA"/>
          </w:tcPr>
          <w:p>
            <w:pPr>
              <w:pStyle w:val="Tableau"/>
            </w:pPr>
            <w:r>
              <w:rPr>
                <w:b/>
              </w:rPr>
              <w:t xml:space="preserve">Variable</w:t>
            </w:r>
          </w:p>
        </w:tc>
        <w:tc>
          <w:tcPr>
            <w:tcW w:w="1276" w:type="dxa"/>
            <w:shd w:val="clear" w:color="auto" w:fill="F4F6FA"/>
          </w:tcPr>
          <w:p>
            <w:pPr>
              <w:pStyle w:val="Tableau"/>
            </w:pPr>
            <w:r>
              <w:rPr>
                <w:b/>
              </w:rPr>
              <w:t xml:space="preserve">Défaut</w:t>
            </w:r>
          </w:p>
        </w:tc>
        <w:tc>
          <w:tcPr>
            <w:tcW w:w="4787" w:type="dxa"/>
            <w:shd w:val="clear" w:color="auto" w:fill="F4F6FA"/>
          </w:tcPr>
          <w:p>
            <w:pPr>
              <w:pStyle w:val="Tableau"/>
            </w:pPr>
            <w:r>
              <w:rPr>
                <w:b/>
              </w:rPr>
              <w:t xml:space="preserve">Effet</w:t>
            </w:r>
          </w:p>
        </w:tc>
      </w:tr>
      <w:tr>
        <w:trPr>
          <w:cantSplit/>
        </w:trPr>
        <w:tc>
          <w:tcPr>
            <w:tcW w:w="3574" w:type="dxa"/>
          </w:tcPr>
          <w:p>
            <w:pPr>
              <w:pStyle w:val="Tableau"/>
            </w:pPr>
            <w:r>
              <w:rPr>
                <w:rStyle w:val="CodeCar"/>
              </w:rPr>
              <w:t xml:space="preserve">ASPNETCORE_ENVIRONMENT</w:t>
            </w:r>
          </w:p>
        </w:tc>
        <w:tc>
          <w:tcPr>
            <w:tcW w:w="1276" w:type="dxa"/>
          </w:tcPr>
          <w:p>
            <w:pPr>
              <w:pStyle w:val="Tableau"/>
            </w:pPr>
            <w:r>
              <w:rPr>
                <w:rStyle w:val="CodeCar"/>
              </w:rPr>
              <w:t xml:space="preserve">Production</w:t>
            </w:r>
          </w:p>
        </w:tc>
        <w:tc>
          <w:tcPr>
            <w:tcW w:w="4787" w:type="dxa"/>
          </w:tcPr>
          <w:p>
            <w:pPr>
              <w:pStyle w:val="Tableau"/>
            </w:pPr>
            <w:r>
              <w:rPr>
                <w:rStyle w:val="CodeCar"/>
              </w:rPr>
              <w:t xml:space="preserve">Production</w:t>
            </w:r>
            <w:r>
              <w:t xml:space="preserve"> sur un serveur : pages d'erreur sans détail technique, journaux quotidiens en fichiers, HSTS</w:t>
            </w:r>
          </w:p>
        </w:tc>
      </w:tr>
      <w:tr>
        <w:trPr>
          <w:cantSplit/>
        </w:trPr>
        <w:tc>
          <w:tcPr>
            <w:tcW w:w="3574" w:type="dxa"/>
          </w:tcPr>
          <w:p>
            <w:pPr>
              <w:pStyle w:val="Tableau"/>
            </w:pPr>
            <w:r>
              <w:rPr>
                <w:rStyle w:val="CodeCar"/>
              </w:rPr>
              <w:t xml:space="preserve">ADMIN_EMAIL</w:t>
            </w:r>
          </w:p>
        </w:tc>
        <w:tc>
          <w:tcPr>
            <w:tcW w:w="1276" w:type="dxa"/>
          </w:tcPr>
          <w:p>
            <w:pPr>
              <w:pStyle w:val="Tableau"/>
            </w:pPr>
            <w:r>
              <w:t xml:space="preserve">vide</w:t>
            </w:r>
          </w:p>
        </w:tc>
        <w:tc>
          <w:tcPr>
            <w:tcW w:w="4787" w:type="dxa"/>
          </w:tcPr>
          <w:p>
            <w:pPr>
              <w:pStyle w:val="Tableau"/>
            </w:pPr>
            <w:r>
              <w:t xml:space="preserve">Adresse du premier administrateur</w:t>
            </w:r>
          </w:p>
        </w:tc>
      </w:tr>
      <w:tr>
        <w:trPr>
          <w:cantSplit/>
        </w:trPr>
        <w:tc>
          <w:tcPr>
            <w:tcW w:w="3574" w:type="dxa"/>
          </w:tcPr>
          <w:p>
            <w:pPr>
              <w:pStyle w:val="Tableau"/>
            </w:pPr>
            <w:r>
              <w:rPr>
                <w:rStyle w:val="CodeCar"/>
              </w:rPr>
              <w:t xml:space="preserve">ADMIN_MOT_DE_PASSE</w:t>
            </w:r>
          </w:p>
        </w:tc>
        <w:tc>
          <w:tcPr>
            <w:tcW w:w="1276" w:type="dxa"/>
          </w:tcPr>
          <w:p>
            <w:pPr>
              <w:pStyle w:val="Tableau"/>
            </w:pPr>
            <w:r>
              <w:t xml:space="preserve">vide</w:t>
            </w:r>
          </w:p>
        </w:tc>
        <w:tc>
          <w:tcPr>
            <w:tcW w:w="4787" w:type="dxa"/>
          </w:tcPr>
          <w:p>
            <w:pPr>
              <w:pStyle w:val="Tableau"/>
            </w:pPr>
            <w:r>
              <w:t xml:space="preserve">Son mot de passe (8 caractères au moins, dont un chiffre). Le compte n'est créé que si </w:t>
            </w:r>
            <w:r>
              <w:rPr>
                <w:b/>
              </w:rPr>
              <w:t xml:space="preserve">aucun</w:t>
            </w:r>
            <w:r>
              <w:t xml:space="preserve"> administrateur n'existe ; ensuite la variable est ignorée : videz-la</w:t>
            </w:r>
          </w:p>
        </w:tc>
      </w:tr>
      <w:tr>
        <w:trPr>
          <w:cantSplit/>
        </w:trPr>
        <w:tc>
          <w:tcPr>
            <w:tcW w:w="3574" w:type="dxa"/>
          </w:tcPr>
          <w:p>
            <w:pPr>
              <w:pStyle w:val="Tableau"/>
            </w:pPr>
            <w:r>
              <w:rPr>
                <w:rStyle w:val="CodeCar"/>
              </w:rPr>
              <w:t xml:space="preserve">ADMIN_CHANGEMENT_OBLIGATOIRE</w:t>
            </w:r>
          </w:p>
        </w:tc>
        <w:tc>
          <w:tcPr>
            <w:tcW w:w="1276" w:type="dxa"/>
          </w:tcPr>
          <w:p>
            <w:pPr>
              <w:pStyle w:val="Tableau"/>
            </w:pPr>
            <w:r>
              <w:rPr>
                <w:rStyle w:val="CodeCar"/>
              </w:rPr>
              <w:t xml:space="preserve">true</w:t>
            </w:r>
          </w:p>
        </w:tc>
        <w:tc>
          <w:tcPr>
            <w:tcW w:w="4787" w:type="dxa"/>
          </w:tcPr>
          <w:p>
            <w:pPr>
              <w:pStyle w:val="Tableau"/>
            </w:pPr>
            <w:r>
              <w:t xml:space="preserve">Oblige ce premier administrateur à changer son mot de passe à la première connexion. </w:t>
            </w:r>
            <w:r>
              <w:rPr>
                <w:rStyle w:val="CodeCar"/>
              </w:rPr>
              <w:t xml:space="preserve">false</w:t>
            </w:r>
            <w:r>
              <w:t xml:space="preserve"> seulement pour la démo en ligne</w:t>
            </w:r>
          </w:p>
        </w:tc>
      </w:tr>
    </w:tbl>
    <w:p>
      <w:pPr>
        <w:spacing w:before="0" w:after="0"/>
      </w:pPr>
    </w:p>
    <w:p>
      <w:pPr>
        <w:pStyle w:val="Heading2"/>
      </w:pPr>
      <w:bookmarkStart w:name="_s31" w:id="31"/>
      <w:r>
        <w:rPr>
          <w:color w:val="D9480F"/>
        </w:rPr>
        <w:t xml:space="preserve">4.5  </w:t>
      </w:r>
      <w:r>
        <w:t xml:space="preserve">Messagerie</w:t>
      </w:r>
      <w:bookmarkEnd w:id="31"/>
    </w:p>
    <w:tbl>
      <w:tblPr>
        <w:tblW w:w="5000" w:type="pct"/>
        <w:tblBorders>
          <w:top w:val="single" w:color="DFE4EC" w:sz="4"/>
          <w:bottom w:val="single" w:color="DFE4EC" w:sz="4"/>
          <w:left w:val="nil"/>
          <w:right w:val="nil"/>
          <w:insideH w:val="single" w:color="DFE4EC" w:sz="4"/>
          <w:insideV w:val="nil"/>
        </w:tblBorders>
        <w:tblLayout w:type="fixed"/>
        <w:tblCellMar>
          <w:top w:w="50" w:type="dxa"/>
          <w:left w:w="100" w:type="dxa"/>
          <w:bottom w:w="50" w:type="dxa"/>
          <w:right w:w="100" w:type="dxa"/>
        </w:tblCellMar>
      </w:tblPr>
      <w:tblGrid>
        <w:gridCol w:w="2308"/>
        <w:gridCol w:w="3001"/>
        <w:gridCol w:w="4328"/>
      </w:tblGrid>
      <w:tr>
        <w:trPr>
          <w:cantSplit/>
          <w:tblHeader/>
        </w:trPr>
        <w:tc>
          <w:tcPr>
            <w:tcW w:w="2308" w:type="dxa"/>
            <w:shd w:val="clear" w:color="auto" w:fill="F4F6FA"/>
          </w:tcPr>
          <w:p>
            <w:pPr>
              <w:pStyle w:val="Tableau"/>
            </w:pPr>
            <w:r>
              <w:rPr>
                <w:b/>
              </w:rPr>
              <w:t xml:space="preserve">Variable</w:t>
            </w:r>
          </w:p>
        </w:tc>
        <w:tc>
          <w:tcPr>
            <w:tcW w:w="3001" w:type="dxa"/>
            <w:shd w:val="clear" w:color="auto" w:fill="F4F6FA"/>
          </w:tcPr>
          <w:p>
            <w:pPr>
              <w:pStyle w:val="Tableau"/>
            </w:pPr>
            <w:r>
              <w:rPr>
                <w:b/>
              </w:rPr>
              <w:t xml:space="preserve">Défaut</w:t>
            </w:r>
          </w:p>
        </w:tc>
        <w:tc>
          <w:tcPr>
            <w:tcW w:w="4328" w:type="dxa"/>
            <w:shd w:val="clear" w:color="auto" w:fill="F4F6FA"/>
          </w:tcPr>
          <w:p>
            <w:pPr>
              <w:pStyle w:val="Tableau"/>
            </w:pPr>
            <w:r>
              <w:rPr>
                <w:b/>
              </w:rPr>
              <w:t xml:space="preserve">Effet</w:t>
            </w:r>
          </w:p>
        </w:tc>
      </w:tr>
      <w:tr>
        <w:trPr>
          <w:cantSplit/>
        </w:trPr>
        <w:tc>
          <w:tcPr>
            <w:tcW w:w="2308" w:type="dxa"/>
          </w:tcPr>
          <w:p>
            <w:pPr>
              <w:pStyle w:val="Tableau"/>
            </w:pPr>
            <w:r>
              <w:rPr>
                <w:rStyle w:val="CodeCar"/>
              </w:rPr>
              <w:t xml:space="preserve">EMAIL_HOTE</w:t>
            </w:r>
          </w:p>
        </w:tc>
        <w:tc>
          <w:tcPr>
            <w:tcW w:w="3001" w:type="dxa"/>
          </w:tcPr>
          <w:p>
            <w:pPr>
              <w:pStyle w:val="Tableau"/>
            </w:pPr>
            <w:r>
              <w:t xml:space="preserve">vide</w:t>
            </w:r>
          </w:p>
        </w:tc>
        <w:tc>
          <w:tcPr>
            <w:tcW w:w="4328" w:type="dxa"/>
          </w:tcPr>
          <w:p>
            <w:pPr>
              <w:pStyle w:val="Tableau"/>
            </w:pPr>
            <w:r>
              <w:t xml:space="preserve">Serveur SMTP. Vide : aucun e-mail ne part, chaque message est écrit en fichier </w:t>
            </w:r>
            <w:r>
              <w:rPr>
                <w:rStyle w:val="CodeCar"/>
              </w:rPr>
              <w:t xml:space="preserve">.eml</w:t>
            </w:r>
            <w:r>
              <w:t xml:space="preserve"> dans le dossier </w:t>
            </w:r>
            <w:r>
              <w:rPr>
                <w:rStyle w:val="CodeCar"/>
              </w:rPr>
              <w:t xml:space="preserve">boite-envoi/</w:t>
            </w:r>
            <w:r>
              <w:t xml:space="preserve"> du volume </w:t>
            </w:r>
            <w:r>
              <w:rPr>
                <w:rStyle w:val="CodeCar"/>
              </w:rPr>
              <w:t xml:space="preserve">app-donnees</w:t>
            </w:r>
          </w:p>
        </w:tc>
      </w:tr>
      <w:tr>
        <w:trPr>
          <w:cantSplit/>
        </w:trPr>
        <w:tc>
          <w:tcPr>
            <w:tcW w:w="2308" w:type="dxa"/>
          </w:tcPr>
          <w:p>
            <w:pPr>
              <w:pStyle w:val="Tableau"/>
            </w:pPr>
            <w:r>
              <w:rPr>
                <w:rStyle w:val="CodeCar"/>
              </w:rPr>
              <w:t xml:space="preserve">EMAIL_PORT</w:t>
            </w:r>
          </w:p>
        </w:tc>
        <w:tc>
          <w:tcPr>
            <w:tcW w:w="3001" w:type="dxa"/>
          </w:tcPr>
          <w:p>
            <w:pPr>
              <w:pStyle w:val="Tableau"/>
            </w:pPr>
            <w:r>
              <w:rPr>
                <w:rStyle w:val="CodeCar"/>
              </w:rPr>
              <w:t xml:space="preserve">587</w:t>
            </w:r>
          </w:p>
        </w:tc>
        <w:tc>
          <w:tcPr>
            <w:tcW w:w="4328" w:type="dxa"/>
          </w:tcPr>
          <w:p>
            <w:pPr>
              <w:pStyle w:val="Tableau"/>
            </w:pPr>
            <w:r>
              <w:t xml:space="preserve">Port SMTP</w:t>
            </w:r>
          </w:p>
        </w:tc>
      </w:tr>
      <w:tr>
        <w:trPr>
          <w:cantSplit/>
        </w:trPr>
        <w:tc>
          <w:tcPr>
            <w:tcW w:w="2308" w:type="dxa"/>
          </w:tcPr>
          <w:p>
            <w:pPr>
              <w:pStyle w:val="Tableau"/>
            </w:pPr>
            <w:r>
              <w:rPr>
                <w:rStyle w:val="CodeCar"/>
              </w:rPr>
              <w:t xml:space="preserve">EMAIL_SECURITE</w:t>
            </w:r>
          </w:p>
        </w:tc>
        <w:tc>
          <w:tcPr>
            <w:tcW w:w="3001" w:type="dxa"/>
          </w:tcPr>
          <w:p>
            <w:pPr>
              <w:pStyle w:val="Tableau"/>
            </w:pPr>
            <w:r>
              <w:rPr>
                <w:rStyle w:val="CodeCar"/>
              </w:rPr>
              <w:t xml:space="preserve">Auto</w:t>
            </w:r>
          </w:p>
        </w:tc>
        <w:tc>
          <w:tcPr>
            <w:tcW w:w="4328" w:type="dxa"/>
          </w:tcPr>
          <w:p>
            <w:pPr>
              <w:pStyle w:val="Tableau"/>
            </w:pPr>
            <w:r>
              <w:rPr>
                <w:rStyle w:val="CodeCar"/>
              </w:rPr>
              <w:t xml:space="preserve">Auto</w:t>
            </w:r>
            <w:r>
              <w:t xml:space="preserve"> (STARTTLS si le serveur le propose), </w:t>
            </w:r>
            <w:r>
              <w:rPr>
                <w:rStyle w:val="CodeCar"/>
              </w:rPr>
              <w:t xml:space="preserve">StartTls</w:t>
            </w:r>
            <w:r>
              <w:t xml:space="preserve">, </w:t>
            </w:r>
            <w:r>
              <w:rPr>
                <w:rStyle w:val="CodeCar"/>
              </w:rPr>
              <w:t xml:space="preserve">SslOnConnect</w:t>
            </w:r>
            <w:r>
              <w:t xml:space="preserve"> (port 465) ou </w:t>
            </w:r>
            <w:r>
              <w:rPr>
                <w:rStyle w:val="CodeCar"/>
              </w:rPr>
              <w:t xml:space="preserve">None</w:t>
            </w:r>
          </w:p>
        </w:tc>
      </w:tr>
      <w:tr>
        <w:trPr>
          <w:cantSplit/>
        </w:trPr>
        <w:tc>
          <w:tcPr>
            <w:tcW w:w="2308" w:type="dxa"/>
          </w:tcPr>
          <w:p>
            <w:pPr>
              <w:pStyle w:val="Tableau"/>
            </w:pPr>
            <w:r>
              <w:rPr>
                <w:rStyle w:val="CodeCar"/>
              </w:rPr>
              <w:t xml:space="preserve">EMAIL_UTILISATEUR</w:t>
            </w:r>
          </w:p>
        </w:tc>
        <w:tc>
          <w:tcPr>
            <w:tcW w:w="3001" w:type="dxa"/>
          </w:tcPr>
          <w:p>
            <w:pPr>
              <w:pStyle w:val="Tableau"/>
            </w:pPr>
            <w:r>
              <w:t xml:space="preserve">vide</w:t>
            </w:r>
          </w:p>
        </w:tc>
        <w:tc>
          <w:tcPr>
            <w:tcW w:w="4328" w:type="dxa"/>
          </w:tcPr>
          <w:p>
            <w:pPr>
              <w:pStyle w:val="Tableau"/>
            </w:pPr>
            <w:r>
              <w:t xml:space="preserve">Identifiant SMTP ; vide : pas d'authentification</w:t>
            </w:r>
          </w:p>
        </w:tc>
      </w:tr>
      <w:tr>
        <w:trPr>
          <w:cantSplit/>
        </w:trPr>
        <w:tc>
          <w:tcPr>
            <w:tcW w:w="2308" w:type="dxa"/>
          </w:tcPr>
          <w:p>
            <w:pPr>
              <w:pStyle w:val="Tableau"/>
            </w:pPr>
            <w:r>
              <w:rPr>
                <w:rStyle w:val="CodeCar"/>
              </w:rPr>
              <w:t xml:space="preserve">EMAIL_MOT_DE_PASSE</w:t>
            </w:r>
          </w:p>
        </w:tc>
        <w:tc>
          <w:tcPr>
            <w:tcW w:w="3001" w:type="dxa"/>
          </w:tcPr>
          <w:p>
            <w:pPr>
              <w:pStyle w:val="Tableau"/>
            </w:pPr>
            <w:r>
              <w:t xml:space="preserve">vide</w:t>
            </w:r>
          </w:p>
        </w:tc>
        <w:tc>
          <w:tcPr>
            <w:tcW w:w="4328" w:type="dxa"/>
          </w:tcPr>
          <w:p>
            <w:pPr>
              <w:pStyle w:val="Tableau"/>
            </w:pPr>
            <w:r>
              <w:t xml:space="preserve">Mot de passe SMTP</w:t>
            </w:r>
          </w:p>
        </w:tc>
      </w:tr>
      <w:tr>
        <w:trPr>
          <w:cantSplit/>
        </w:trPr>
        <w:tc>
          <w:tcPr>
            <w:tcW w:w="2308" w:type="dxa"/>
          </w:tcPr>
          <w:p>
            <w:pPr>
              <w:pStyle w:val="Tableau"/>
            </w:pPr>
            <w:r>
              <w:rPr>
                <w:rStyle w:val="CodeCar"/>
              </w:rPr>
              <w:t xml:space="preserve">EMAIL_EXPEDITEUR</w:t>
            </w:r>
          </w:p>
        </w:tc>
        <w:tc>
          <w:tcPr>
            <w:tcW w:w="3001" w:type="dxa"/>
          </w:tcPr>
          <w:p>
            <w:pPr>
              <w:pStyle w:val="Tableau"/>
            </w:pPr>
            <w:r>
              <w:rPr>
                <w:rStyle w:val="CodeCar"/>
              </w:rPr>
              <w:t xml:space="preserve">ne-pas-repondre@read.local</w:t>
            </w:r>
          </w:p>
        </w:tc>
        <w:tc>
          <w:tcPr>
            <w:tcW w:w="4328" w:type="dxa"/>
          </w:tcPr>
          <w:p>
            <w:pPr>
              <w:pStyle w:val="Tableau"/>
            </w:pPr>
            <w:r>
              <w:t xml:space="preserve">Adresse d'expédition ; elle doit être autorisée par le serveur SMTP (et par les enregistrements SPF/DKIM du domaine)</w:t>
            </w:r>
          </w:p>
        </w:tc>
      </w:tr>
      <w:tr>
        <w:trPr>
          <w:cantSplit/>
        </w:trPr>
        <w:tc>
          <w:tcPr>
            <w:tcW w:w="2308" w:type="dxa"/>
          </w:tcPr>
          <w:p>
            <w:pPr>
              <w:pStyle w:val="Tableau"/>
            </w:pPr>
            <w:r>
              <w:rPr>
                <w:rStyle w:val="CodeCar"/>
              </w:rPr>
              <w:t xml:space="preserve">EMAIL_NOM_EXPEDITEUR</w:t>
            </w:r>
          </w:p>
        </w:tc>
        <w:tc>
          <w:tcPr>
            <w:tcW w:w="3001" w:type="dxa"/>
          </w:tcPr>
          <w:p>
            <w:pPr>
              <w:pStyle w:val="Tableau"/>
            </w:pPr>
            <w:r>
              <w:rPr>
                <w:rStyle w:val="CodeCar"/>
              </w:rPr>
              <w:t xml:space="preserve">Plateforme READ</w:t>
            </w:r>
          </w:p>
        </w:tc>
        <w:tc>
          <w:tcPr>
            <w:tcW w:w="4328" w:type="dxa"/>
          </w:tcPr>
          <w:p>
            <w:pPr>
              <w:pStyle w:val="Tableau"/>
            </w:pPr>
            <w:r>
              <w:t xml:space="preserve">Nom affiché de l'expéditeur</w:t>
            </w:r>
          </w:p>
        </w:tc>
      </w:tr>
    </w:tbl>
    <w:p>
      <w:pPr>
        <w:spacing w:before="0" w:after="0"/>
      </w:pPr>
    </w:p>
    <w:p>
      <w:pPr>
        <w:pStyle w:val="Heading2"/>
      </w:pPr>
      <w:bookmarkStart w:name="_s32" w:id="32"/>
      <w:r>
        <w:rPr>
          <w:color w:val="D9480F"/>
        </w:rPr>
        <w:t xml:space="preserve">4.6  </w:t>
      </w:r>
      <w:r>
        <w:t xml:space="preserve">Démonstration</w:t>
      </w:r>
      <w:bookmarkEnd w:id="32"/>
    </w:p>
    <w:p>
      <w:pPr/>
      <w:r>
        <w:t xml:space="preserve">À laisser à </w:t>
      </w:r>
      <w:r>
        <w:rPr>
          <w:rStyle w:val="CodeCar"/>
        </w:rPr>
        <w:t xml:space="preserve">false</w:t>
      </w:r>
      <w:r>
        <w:t xml:space="preserve"> et vide sur une plateforme réelle (chapitre </w:t>
      </w:r>
      <w:hyperlink w:history="true" w:anchor="_s76">
        <w:r>
          <w:rPr>
            <w:rStyle w:val="Hyperlink"/>
          </w:rPr>
          <w:t xml:space="preserve">Environnement de démonstration</w:t>
        </w:r>
      </w:hyperlink>
      <w:r>
        <w:t xml:space="preserve">).</w:t>
      </w:r>
    </w:p>
    <w:tbl>
      <w:tblPr>
        <w:tblW w:w="5000" w:type="pct"/>
        <w:tblBorders>
          <w:top w:val="single" w:color="DFE4EC" w:sz="4"/>
          <w:bottom w:val="single" w:color="DFE4EC" w:sz="4"/>
          <w:left w:val="nil"/>
          <w:right w:val="nil"/>
          <w:insideH w:val="single" w:color="DFE4EC" w:sz="4"/>
          <w:insideV w:val="nil"/>
        </w:tblBorders>
        <w:tblLayout w:type="fixed"/>
        <w:tblCellMar>
          <w:top w:w="50" w:type="dxa"/>
          <w:left w:w="100" w:type="dxa"/>
          <w:bottom w:w="50" w:type="dxa"/>
          <w:right w:w="100" w:type="dxa"/>
        </w:tblCellMar>
      </w:tblPr>
      <w:tblGrid>
        <w:gridCol w:w="3137"/>
        <w:gridCol w:w="896"/>
        <w:gridCol w:w="5603"/>
      </w:tblGrid>
      <w:tr>
        <w:trPr>
          <w:cantSplit/>
          <w:tblHeader/>
        </w:trPr>
        <w:tc>
          <w:tcPr>
            <w:tcW w:w="3137" w:type="dxa"/>
            <w:shd w:val="clear" w:color="auto" w:fill="F4F6FA"/>
          </w:tcPr>
          <w:p>
            <w:pPr>
              <w:pStyle w:val="Tableau"/>
            </w:pPr>
            <w:r>
              <w:rPr>
                <w:b/>
              </w:rPr>
              <w:t xml:space="preserve">Variable</w:t>
            </w:r>
          </w:p>
        </w:tc>
        <w:tc>
          <w:tcPr>
            <w:tcW w:w="896" w:type="dxa"/>
            <w:shd w:val="clear" w:color="auto" w:fill="F4F6FA"/>
          </w:tcPr>
          <w:p>
            <w:pPr>
              <w:pStyle w:val="Tableau"/>
            </w:pPr>
            <w:r>
              <w:rPr>
                <w:b/>
              </w:rPr>
              <w:t xml:space="preserve">Défaut</w:t>
            </w:r>
          </w:p>
        </w:tc>
        <w:tc>
          <w:tcPr>
            <w:tcW w:w="5603" w:type="dxa"/>
            <w:shd w:val="clear" w:color="auto" w:fill="F4F6FA"/>
          </w:tcPr>
          <w:p>
            <w:pPr>
              <w:pStyle w:val="Tableau"/>
            </w:pPr>
            <w:r>
              <w:rPr>
                <w:b/>
              </w:rPr>
              <w:t xml:space="preserve">Effet</w:t>
            </w:r>
          </w:p>
        </w:tc>
      </w:tr>
      <w:tr>
        <w:trPr>
          <w:cantSplit/>
        </w:trPr>
        <w:tc>
          <w:tcPr>
            <w:tcW w:w="3137" w:type="dxa"/>
          </w:tcPr>
          <w:p>
            <w:pPr>
              <w:pStyle w:val="Tableau"/>
            </w:pPr>
            <w:r>
              <w:rPr>
                <w:rStyle w:val="CodeCar"/>
              </w:rPr>
              <w:t xml:space="preserve">DEMO_AFFICHER</w:t>
            </w:r>
          </w:p>
        </w:tc>
        <w:tc>
          <w:tcPr>
            <w:tcW w:w="896" w:type="dxa"/>
          </w:tcPr>
          <w:p>
            <w:pPr>
              <w:pStyle w:val="Tableau"/>
            </w:pPr>
            <w:r>
              <w:rPr>
                <w:rStyle w:val="CodeCar"/>
              </w:rPr>
              <w:t xml:space="preserve">false</w:t>
            </w:r>
          </w:p>
        </w:tc>
        <w:tc>
          <w:tcPr>
            <w:tcW w:w="5603" w:type="dxa"/>
          </w:tcPr>
          <w:p>
            <w:pPr>
              <w:pStyle w:val="Tableau"/>
            </w:pPr>
            <w:r>
              <w:t xml:space="preserve">Bandeau « Données de démonstration fictives » en haut de chaque page</w:t>
            </w:r>
          </w:p>
        </w:tc>
      </w:tr>
      <w:tr>
        <w:trPr>
          <w:cantSplit/>
        </w:trPr>
        <w:tc>
          <w:tcPr>
            <w:tcW w:w="3137" w:type="dxa"/>
          </w:tcPr>
          <w:p>
            <w:pPr>
              <w:pStyle w:val="Tableau"/>
            </w:pPr>
            <w:r>
              <w:rPr>
                <w:rStyle w:val="CodeCar"/>
              </w:rPr>
              <w:t xml:space="preserve">DEMO_DONNEES</w:t>
            </w:r>
          </w:p>
        </w:tc>
        <w:tc>
          <w:tcPr>
            <w:tcW w:w="896" w:type="dxa"/>
          </w:tcPr>
          <w:p>
            <w:pPr>
              <w:pStyle w:val="Tableau"/>
            </w:pPr>
            <w:r>
              <w:rPr>
                <w:rStyle w:val="CodeCar"/>
              </w:rPr>
              <w:t xml:space="preserve">false</w:t>
            </w:r>
          </w:p>
        </w:tc>
        <w:tc>
          <w:tcPr>
            <w:tcW w:w="5603" w:type="dxa"/>
          </w:tcPr>
          <w:p>
            <w:pPr>
              <w:pStyle w:val="Tableau"/>
            </w:pPr>
            <w:r>
              <w:t xml:space="preserve">Charge au démarrage des données entièrement fictives, seulement dans une base qui ne contient aucune organisation</w:t>
            </w:r>
          </w:p>
        </w:tc>
      </w:tr>
      <w:tr>
        <w:trPr>
          <w:cantSplit/>
        </w:trPr>
        <w:tc>
          <w:tcPr>
            <w:tcW w:w="3137" w:type="dxa"/>
          </w:tcPr>
          <w:p>
            <w:pPr>
              <w:pStyle w:val="Tableau"/>
            </w:pPr>
            <w:r>
              <w:rPr>
                <w:rStyle w:val="CodeCar"/>
              </w:rPr>
              <w:t xml:space="preserve">DEMO_MOT_DE_PASSE</w:t>
            </w:r>
          </w:p>
        </w:tc>
        <w:tc>
          <w:tcPr>
            <w:tcW w:w="896" w:type="dxa"/>
          </w:tcPr>
          <w:p>
            <w:pPr>
              <w:pStyle w:val="Tableau"/>
            </w:pPr>
            <w:r>
              <w:t xml:space="preserve">vide</w:t>
            </w:r>
          </w:p>
        </w:tc>
        <w:tc>
          <w:tcPr>
            <w:tcW w:w="5603" w:type="dxa"/>
          </w:tcPr>
          <w:p>
            <w:pPr>
              <w:pStyle w:val="Tableau"/>
            </w:pPr>
            <w:r>
              <w:t xml:space="preserve">Mot de passe des comptes de démonstration ; sans lui, rien n'est chargé</w:t>
            </w:r>
          </w:p>
        </w:tc>
      </w:tr>
      <w:tr>
        <w:trPr>
          <w:cantSplit/>
        </w:trPr>
        <w:tc>
          <w:tcPr>
            <w:tcW w:w="3137" w:type="dxa"/>
          </w:tcPr>
          <w:p>
            <w:pPr>
              <w:pStyle w:val="Tableau"/>
            </w:pPr>
            <w:r>
              <w:rPr>
                <w:rStyle w:val="CodeCar"/>
              </w:rPr>
              <w:t xml:space="preserve">DEMO_COMPTES_PROTEGES</w:t>
            </w:r>
          </w:p>
        </w:tc>
        <w:tc>
          <w:tcPr>
            <w:tcW w:w="896" w:type="dxa"/>
          </w:tcPr>
          <w:p>
            <w:pPr>
              <w:pStyle w:val="Tableau"/>
            </w:pPr>
            <w:r>
              <w:rPr>
                <w:rStyle w:val="CodeCar"/>
              </w:rPr>
              <w:t xml:space="preserve">false</w:t>
            </w:r>
          </w:p>
        </w:tc>
        <w:tc>
          <w:tcPr>
            <w:tcW w:w="5603" w:type="dxa"/>
          </w:tcPr>
          <w:p>
            <w:pPr>
              <w:pStyle w:val="Tableau"/>
            </w:pPr>
            <w:r>
              <w:t xml:space="preserve">Comptes </w:t>
            </w:r>
            <w:r>
              <w:rPr>
                <w:rStyle w:val="CodeCar"/>
              </w:rPr>
              <w:t xml:space="preserve">…@demo.read</w:t>
            </w:r>
            <w:r>
              <w:t xml:space="preserve"> verrouillés : mot de passe inchangeable, ni modification ni désactivation par l'administrateur (démo en ligne seulement)</w:t>
            </w:r>
          </w:p>
        </w:tc>
      </w:tr>
    </w:tbl>
    <w:p>
      <w:pPr>
        <w:spacing w:before="0" w:after="0"/>
      </w:pPr>
    </w:p>
    <w:p>
      <w:pPr>
        <w:pStyle w:val="Heading2"/>
      </w:pPr>
      <w:bookmarkStart w:name="_s33" w:id="33"/>
      <w:r>
        <w:rPr>
          <w:color w:val="D9480F"/>
        </w:rPr>
        <w:t xml:space="preserve">4.7  </w:t>
      </w:r>
      <w:r>
        <w:t xml:space="preserve">Sauvegarde</w:t>
      </w:r>
      <w:bookmarkEnd w:id="33"/>
    </w:p>
    <w:p>
      <w:pPr/>
      <w:r>
        <w:t xml:space="preserve">Lues par </w:t>
      </w:r>
      <w:r>
        <w:rPr>
          <w:rStyle w:val="CodeCar"/>
        </w:rPr>
        <w:t xml:space="preserve">deploy/sauvegarde.sh</w:t>
      </w:r>
      <w:r>
        <w:t xml:space="preserve"> (chapitre </w:t>
      </w:r>
      <w:hyperlink w:history="true" w:anchor="_s42">
        <w:r>
          <w:rPr>
            <w:rStyle w:val="Hyperlink"/>
          </w:rPr>
          <w:t xml:space="preserve">Sauvegarde et restauration</w:t>
        </w:r>
      </w:hyperlink>
      <w:r>
        <w:t xml:space="preserve">), pas par</w:t>
      </w:r>
      <w:r>
        <w:t xml:space="preserve"> </w:t>
      </w:r>
      <w:r>
        <w:t xml:space="preserve">l'application.</w:t>
      </w:r>
    </w:p>
    <w:tbl>
      <w:tblPr>
        <w:tblW w:w="5000" w:type="pct"/>
        <w:tblBorders>
          <w:top w:val="single" w:color="DFE4EC" w:sz="4"/>
          <w:bottom w:val="single" w:color="DFE4EC" w:sz="4"/>
          <w:left w:val="nil"/>
          <w:right w:val="nil"/>
          <w:insideH w:val="single" w:color="DFE4EC" w:sz="4"/>
          <w:insideV w:val="nil"/>
        </w:tblBorders>
        <w:tblLayout w:type="fixed"/>
        <w:tblCellMar>
          <w:top w:w="50" w:type="dxa"/>
          <w:left w:w="100" w:type="dxa"/>
          <w:bottom w:w="50" w:type="dxa"/>
          <w:right w:w="100" w:type="dxa"/>
        </w:tblCellMar>
      </w:tblPr>
      <w:tblGrid>
        <w:gridCol w:w="2491"/>
        <w:gridCol w:w="2229"/>
        <w:gridCol w:w="4917"/>
      </w:tblGrid>
      <w:tr>
        <w:trPr>
          <w:cantSplit/>
          <w:tblHeader/>
        </w:trPr>
        <w:tc>
          <w:tcPr>
            <w:tcW w:w="2491" w:type="dxa"/>
            <w:shd w:val="clear" w:color="auto" w:fill="F4F6FA"/>
          </w:tcPr>
          <w:p>
            <w:pPr>
              <w:pStyle w:val="Tableau"/>
            </w:pPr>
            <w:r>
              <w:rPr>
                <w:b/>
              </w:rPr>
              <w:t xml:space="preserve">Variable</w:t>
            </w:r>
          </w:p>
        </w:tc>
        <w:tc>
          <w:tcPr>
            <w:tcW w:w="2229" w:type="dxa"/>
            <w:shd w:val="clear" w:color="auto" w:fill="F4F6FA"/>
          </w:tcPr>
          <w:p>
            <w:pPr>
              <w:pStyle w:val="Tableau"/>
            </w:pPr>
            <w:r>
              <w:rPr>
                <w:b/>
              </w:rPr>
              <w:t xml:space="preserve">Défaut</w:t>
            </w:r>
          </w:p>
        </w:tc>
        <w:tc>
          <w:tcPr>
            <w:tcW w:w="4917" w:type="dxa"/>
            <w:shd w:val="clear" w:color="auto" w:fill="F4F6FA"/>
          </w:tcPr>
          <w:p>
            <w:pPr>
              <w:pStyle w:val="Tableau"/>
            </w:pPr>
            <w:r>
              <w:rPr>
                <w:b/>
              </w:rPr>
              <w:t xml:space="preserve">Effet</w:t>
            </w:r>
          </w:p>
        </w:tc>
      </w:tr>
      <w:tr>
        <w:trPr>
          <w:cantSplit/>
        </w:trPr>
        <w:tc>
          <w:tcPr>
            <w:tcW w:w="2491" w:type="dxa"/>
          </w:tcPr>
          <w:p>
            <w:pPr>
              <w:pStyle w:val="Tableau"/>
            </w:pPr>
            <w:r>
              <w:rPr>
                <w:rStyle w:val="CodeCar"/>
              </w:rPr>
              <w:t xml:space="preserve">SAUVEGARDE_DOSSIER</w:t>
            </w:r>
          </w:p>
        </w:tc>
        <w:tc>
          <w:tcPr>
            <w:tcW w:w="2229" w:type="dxa"/>
          </w:tcPr>
          <w:p>
            <w:pPr>
              <w:pStyle w:val="Tableau"/>
            </w:pPr>
            <w:r>
              <w:rPr>
                <w:rStyle w:val="CodeCar"/>
              </w:rPr>
              <w:t xml:space="preserve">/var/backups/read</w:t>
            </w:r>
          </w:p>
        </w:tc>
        <w:tc>
          <w:tcPr>
            <w:tcW w:w="4917" w:type="dxa"/>
          </w:tcPr>
          <w:p>
            <w:pPr>
              <w:pStyle w:val="Tableau"/>
            </w:pPr>
            <w:r>
              <w:t xml:space="preserve">Dossier des sauvegardes locales</w:t>
            </w:r>
          </w:p>
        </w:tc>
      </w:tr>
      <w:tr>
        <w:trPr>
          <w:cantSplit/>
        </w:trPr>
        <w:tc>
          <w:tcPr>
            <w:tcW w:w="2491" w:type="dxa"/>
          </w:tcPr>
          <w:p>
            <w:pPr>
              <w:pStyle w:val="Tableau"/>
            </w:pPr>
            <w:r>
              <w:rPr>
                <w:rStyle w:val="CodeCar"/>
              </w:rPr>
              <w:t xml:space="preserve">SAUVEGARDE_JOURS</w:t>
            </w:r>
          </w:p>
        </w:tc>
        <w:tc>
          <w:tcPr>
            <w:tcW w:w="2229" w:type="dxa"/>
          </w:tcPr>
          <w:p>
            <w:pPr>
              <w:pStyle w:val="Tableau"/>
            </w:pPr>
            <w:r>
              <w:rPr>
                <w:rStyle w:val="CodeCar"/>
              </w:rPr>
              <w:t xml:space="preserve">30</w:t>
            </w:r>
          </w:p>
        </w:tc>
        <w:tc>
          <w:tcPr>
            <w:tcW w:w="4917" w:type="dxa"/>
          </w:tcPr>
          <w:p>
            <w:pPr>
              <w:pStyle w:val="Tableau"/>
            </w:pPr>
            <w:r>
              <w:t xml:space="preserve">Conservation, en jours, locale et distante</w:t>
            </w:r>
          </w:p>
        </w:tc>
      </w:tr>
      <w:tr>
        <w:trPr>
          <w:cantSplit/>
        </w:trPr>
        <w:tc>
          <w:tcPr>
            <w:tcW w:w="2491" w:type="dxa"/>
          </w:tcPr>
          <w:p>
            <w:pPr>
              <w:pStyle w:val="Tableau"/>
            </w:pPr>
            <w:r>
              <w:rPr>
                <w:rStyle w:val="CodeCar"/>
              </w:rPr>
              <w:t xml:space="preserve">SAUVEGARDE_DISTANTE</w:t>
            </w:r>
          </w:p>
        </w:tc>
        <w:tc>
          <w:tcPr>
            <w:tcW w:w="2229" w:type="dxa"/>
          </w:tcPr>
          <w:p>
            <w:pPr>
              <w:pStyle w:val="Tableau"/>
            </w:pPr>
            <w:r>
              <w:t xml:space="preserve">vide</w:t>
            </w:r>
          </w:p>
        </w:tc>
        <w:tc>
          <w:tcPr>
            <w:tcW w:w="4917" w:type="dxa"/>
          </w:tcPr>
          <w:p>
            <w:pPr>
              <w:pStyle w:val="Tableau"/>
            </w:pPr>
            <w:r>
              <w:t xml:space="preserve">Destination rclone de la copie hors serveur, par exemple </w:t>
            </w:r>
            <w:r>
              <w:rPr>
                <w:rStyle w:val="CodeCar"/>
              </w:rPr>
              <w:t xml:space="preserve">chiffre:</w:t>
            </w:r>
            <w:r>
              <w:t xml:space="preserve">. Vide : pas de copie (le compte rendu l'indique)</w:t>
            </w:r>
          </w:p>
        </w:tc>
      </w:tr>
      <w:tr>
        <w:trPr>
          <w:cantSplit/>
        </w:trPr>
        <w:tc>
          <w:tcPr>
            <w:tcW w:w="2491" w:type="dxa"/>
          </w:tcPr>
          <w:p>
            <w:pPr>
              <w:pStyle w:val="Tableau"/>
            </w:pPr>
            <w:r>
              <w:rPr>
                <w:rStyle w:val="CodeCar"/>
              </w:rPr>
              <w:t xml:space="preserve">RCLONE_CONFIG_*</w:t>
            </w:r>
          </w:p>
        </w:tc>
        <w:tc>
          <w:tcPr>
            <w:tcW w:w="2229" w:type="dxa"/>
          </w:tcPr>
          <w:p>
            <w:pPr>
              <w:pStyle w:val="Tableau"/>
            </w:pPr>
            <w:r>
              <w:t xml:space="preserve">aucune</w:t>
            </w:r>
          </w:p>
        </w:tc>
        <w:tc>
          <w:tcPr>
            <w:tcW w:w="4917" w:type="dxa"/>
          </w:tcPr>
          <w:p>
            <w:pPr>
              <w:pStyle w:val="Tableau"/>
            </w:pPr>
            <w:r>
              <w:t xml:space="preserve">Description des destinations rclone (stockage S3 et couche de chiffrement) ; modèle commenté dans </w:t>
            </w:r>
            <w:r>
              <w:rPr>
                <w:rStyle w:val="CodeCar"/>
              </w:rPr>
              <w:t xml:space="preserve">deploy/.env.example</w:t>
            </w:r>
          </w:p>
        </w:tc>
      </w:tr>
    </w:tbl>
    <w:p>
      <w:pPr>
        <w:spacing w:before="0" w:after="0"/>
      </w:pPr>
    </w:p>
    <w:p>
      <w:pPr>
        <w:pStyle w:val="Heading2"/>
      </w:pPr>
      <w:bookmarkStart w:name="_s34" w:id="34"/>
      <w:r>
        <w:rPr>
          <w:color w:val="D9480F"/>
        </w:rPr>
        <w:t xml:space="preserve">4.8  </w:t>
      </w:r>
      <w:r>
        <w:t xml:space="preserve">Réglages avancés de l'application</w:t>
      </w:r>
      <w:bookmarkEnd w:id="34"/>
    </w:p>
    <w:p>
      <w:pPr/>
      <w:r>
        <w:t xml:space="preserve">Ces réglages ont une valeur par défaut adaptée. Ils ne sont </w:t>
      </w:r>
      <w:r>
        <w:rPr>
          <w:b/>
        </w:rPr>
        <w:t xml:space="preserve">pas</w:t>
      </w:r>
      <w:r>
        <w:t xml:space="preserve"> transmis par </w:t>
      </w:r>
      <w:r>
        <w:rPr>
          <w:rStyle w:val="CodeCar"/>
        </w:rPr>
        <w:t xml:space="preserve">.env</w:t>
      </w:r>
      <w:r>
        <w:t xml:space="preserve"> : pour en changer un, ajoutez la</w:t>
      </w:r>
      <w:r>
        <w:t xml:space="preserve"> </w:t>
      </w:r>
      <w:r>
        <w:t xml:space="preserve">variable dans la section </w:t>
      </w:r>
      <w:r>
        <w:rPr>
          <w:rStyle w:val="CodeCar"/>
        </w:rPr>
        <w:t xml:space="preserve">environment</w:t>
      </w:r>
      <w:r>
        <w:t xml:space="preserve"> du service </w:t>
      </w:r>
      <w:r>
        <w:rPr>
          <w:rStyle w:val="CodeCar"/>
        </w:rPr>
        <w:t xml:space="preserve">app</w:t>
      </w:r>
      <w:r>
        <w:t xml:space="preserve"> de </w:t>
      </w:r>
      <w:r>
        <w:rPr>
          <w:rStyle w:val="CodeCar"/>
        </w:rPr>
        <w:t xml:space="preserve">deploy/docker-compose.yml</w:t>
      </w:r>
      <w:r>
        <w:t xml:space="preserve"> (dans le dépôt, pour qu'elle</w:t>
      </w:r>
      <w:r>
        <w:t xml:space="preserve"> </w:t>
      </w:r>
      <w:r>
        <w:t xml:space="preserve">survive aux déploiements), puis déployez.</w:t>
      </w:r>
    </w:p>
    <w:p>
      <w:pPr>
        <w:pStyle w:val="Code"/>
      </w:pPr>
      <w:r>
        <w:t xml:space="preserve"># Exemple (deploy/docker-compose.yml, service app)</w:t>
      </w:r>
    </w:p>
    <w:p>
      <w:pPr>
        <w:pStyle w:val="Code"/>
      </w:pPr>
      <w:r>
        <w:t xml:space="preserve">    environment:</w:t>
      </w:r>
    </w:p>
    <w:p>
      <w:pPr>
        <w:pStyle w:val="Code"/>
        <w:spacing w:after="160"/>
      </w:pPr>
      <w:r>
        <w:t xml:space="preserve">      Api__DureeJetonAccesMinutes: "30"</w:t>
      </w:r>
    </w:p>
    <w:tbl>
      <w:tblPr>
        <w:tblW w:w="5000" w:type="pct"/>
        <w:tblBorders>
          <w:top w:val="single" w:color="DFE4EC" w:sz="4"/>
          <w:bottom w:val="single" w:color="DFE4EC" w:sz="4"/>
          <w:left w:val="nil"/>
          <w:right w:val="nil"/>
          <w:insideH w:val="single" w:color="DFE4EC" w:sz="4"/>
          <w:insideV w:val="nil"/>
        </w:tblBorders>
        <w:tblLayout w:type="fixed"/>
        <w:tblCellMar>
          <w:top w:w="50" w:type="dxa"/>
          <w:left w:w="100" w:type="dxa"/>
          <w:bottom w:w="50" w:type="dxa"/>
          <w:right w:w="100" w:type="dxa"/>
        </w:tblCellMar>
      </w:tblPr>
      <w:tblGrid>
        <w:gridCol w:w="4472"/>
        <w:gridCol w:w="1171"/>
        <w:gridCol w:w="3993"/>
      </w:tblGrid>
      <w:tr>
        <w:trPr>
          <w:cantSplit/>
          <w:tblHeader/>
        </w:trPr>
        <w:tc>
          <w:tcPr>
            <w:tcW w:w="4472" w:type="dxa"/>
            <w:shd w:val="clear" w:color="auto" w:fill="F4F6FA"/>
          </w:tcPr>
          <w:p>
            <w:pPr>
              <w:pStyle w:val="Tableau"/>
            </w:pPr>
            <w:r>
              <w:rPr>
                <w:b/>
              </w:rPr>
              <w:t xml:space="preserve">Réglage</w:t>
            </w:r>
          </w:p>
        </w:tc>
        <w:tc>
          <w:tcPr>
            <w:tcW w:w="1171" w:type="dxa"/>
            <w:shd w:val="clear" w:color="auto" w:fill="F4F6FA"/>
          </w:tcPr>
          <w:p>
            <w:pPr>
              <w:pStyle w:val="Tableau"/>
            </w:pPr>
            <w:r>
              <w:rPr>
                <w:b/>
              </w:rPr>
              <w:t xml:space="preserve">Défaut</w:t>
            </w:r>
          </w:p>
        </w:tc>
        <w:tc>
          <w:tcPr>
            <w:tcW w:w="3993" w:type="dxa"/>
            <w:shd w:val="clear" w:color="auto" w:fill="F4F6FA"/>
          </w:tcPr>
          <w:p>
            <w:pPr>
              <w:pStyle w:val="Tableau"/>
            </w:pPr>
            <w:r>
              <w:rPr>
                <w:b/>
              </w:rPr>
              <w:t xml:space="preserve">Effet</w:t>
            </w:r>
          </w:p>
        </w:tc>
      </w:tr>
      <w:tr>
        <w:trPr>
          <w:cantSplit/>
        </w:trPr>
        <w:tc>
          <w:tcPr>
            <w:tcW w:w="4472" w:type="dxa"/>
          </w:tcPr>
          <w:p>
            <w:pPr>
              <w:pStyle w:val="Tableau"/>
            </w:pPr>
            <w:r>
              <w:rPr>
                <w:rStyle w:val="CodeCar"/>
              </w:rPr>
              <w:t xml:space="preserve">Securite__ConnexionsParMinute</w:t>
            </w:r>
          </w:p>
        </w:tc>
        <w:tc>
          <w:tcPr>
            <w:tcW w:w="1171" w:type="dxa"/>
          </w:tcPr>
          <w:p>
            <w:pPr>
              <w:pStyle w:val="Tableau"/>
            </w:pPr>
            <w:r>
              <w:rPr>
                <w:rStyle w:val="CodeCar"/>
              </w:rPr>
              <w:t xml:space="preserve">10</w:t>
            </w:r>
          </w:p>
        </w:tc>
        <w:tc>
          <w:tcPr>
            <w:tcW w:w="3993" w:type="dxa"/>
          </w:tcPr>
          <w:p>
            <w:pPr>
              <w:pStyle w:val="Tableau"/>
            </w:pPr>
            <w:r>
              <w:t xml:space="preserve">Tentatives de connexion par minute et par adresse IP (site et jetons de l'API) ; au-delà, réponse 429</w:t>
            </w:r>
          </w:p>
        </w:tc>
      </w:tr>
      <w:tr>
        <w:trPr>
          <w:cantSplit/>
        </w:trPr>
        <w:tc>
          <w:tcPr>
            <w:tcW w:w="4472" w:type="dxa"/>
          </w:tcPr>
          <w:p>
            <w:pPr>
              <w:pStyle w:val="Tableau"/>
            </w:pPr>
            <w:r>
              <w:rPr>
                <w:rStyle w:val="CodeCar"/>
              </w:rPr>
              <w:t xml:space="preserve">Securite__InscriptionsParHeure</w:t>
            </w:r>
          </w:p>
        </w:tc>
        <w:tc>
          <w:tcPr>
            <w:tcW w:w="1171" w:type="dxa"/>
          </w:tcPr>
          <w:p>
            <w:pPr>
              <w:pStyle w:val="Tableau"/>
            </w:pPr>
            <w:r>
              <w:rPr>
                <w:rStyle w:val="CodeCar"/>
              </w:rPr>
              <w:t xml:space="preserve">5</w:t>
            </w:r>
          </w:p>
        </w:tc>
        <w:tc>
          <w:tcPr>
            <w:tcW w:w="3993" w:type="dxa"/>
          </w:tcPr>
          <w:p>
            <w:pPr>
              <w:pStyle w:val="Tableau"/>
            </w:pPr>
            <w:r>
              <w:t xml:space="preserve">Demandes d'inscription d'organisation par heure et par adresse IP</w:t>
            </w:r>
          </w:p>
        </w:tc>
      </w:tr>
      <w:tr>
        <w:trPr>
          <w:cantSplit/>
        </w:trPr>
        <w:tc>
          <w:tcPr>
            <w:tcW w:w="4472" w:type="dxa"/>
          </w:tcPr>
          <w:p>
            <w:pPr>
              <w:pStyle w:val="Tableau"/>
            </w:pPr>
            <w:r>
              <w:rPr>
                <w:rStyle w:val="CodeCar"/>
              </w:rPr>
              <w:t xml:space="preserve">Securite__ReinitialisationsParHeure</w:t>
            </w:r>
          </w:p>
        </w:tc>
        <w:tc>
          <w:tcPr>
            <w:tcW w:w="1171" w:type="dxa"/>
          </w:tcPr>
          <w:p>
            <w:pPr>
              <w:pStyle w:val="Tableau"/>
            </w:pPr>
            <w:r>
              <w:rPr>
                <w:rStyle w:val="CodeCar"/>
              </w:rPr>
              <w:t xml:space="preserve">5</w:t>
            </w:r>
          </w:p>
        </w:tc>
        <w:tc>
          <w:tcPr>
            <w:tcW w:w="3993" w:type="dxa"/>
          </w:tcPr>
          <w:p>
            <w:pPr>
              <w:pStyle w:val="Tableau"/>
            </w:pPr>
            <w:r>
              <w:t xml:space="preserve">Demandes « mot de passe oublié » par heure et par adresse IP</w:t>
            </w:r>
          </w:p>
        </w:tc>
      </w:tr>
      <w:tr>
        <w:trPr>
          <w:cantSplit/>
        </w:trPr>
        <w:tc>
          <w:tcPr>
            <w:tcW w:w="4472" w:type="dxa"/>
          </w:tcPr>
          <w:p>
            <w:pPr>
              <w:pStyle w:val="Tableau"/>
            </w:pPr>
            <w:r>
              <w:rPr>
                <w:rStyle w:val="CodeCar"/>
              </w:rPr>
              <w:t xml:space="preserve">Securite__ReseauxProxy__0</w:t>
            </w:r>
            <w:r>
              <w:t xml:space="preserve">, </w:t>
            </w:r>
            <w:r>
              <w:rPr>
                <w:rStyle w:val="CodeCar"/>
              </w:rPr>
              <w:t xml:space="preserve">__1</w:t>
            </w:r>
            <w:r>
              <w:t xml:space="preserve">…</w:t>
            </w:r>
          </w:p>
        </w:tc>
        <w:tc>
          <w:tcPr>
            <w:tcW w:w="1171" w:type="dxa"/>
          </w:tcPr>
          <w:p>
            <w:pPr>
              <w:pStyle w:val="Tableau"/>
            </w:pPr>
            <w:r>
              <w:t xml:space="preserve">réseaux privés</w:t>
            </w:r>
          </w:p>
        </w:tc>
        <w:tc>
          <w:tcPr>
            <w:tcW w:w="3993" w:type="dxa"/>
          </w:tcPr>
          <w:p>
            <w:pPr>
              <w:pStyle w:val="Tableau"/>
            </w:pPr>
            <w:r>
              <w:t xml:space="preserve">Réseaux (CIDR) dont l'en-tête </w:t>
            </w:r>
            <w:r>
              <w:rPr>
                <w:rStyle w:val="CodeCar"/>
              </w:rPr>
              <w:t xml:space="preserve">X-Forwarded-For</w:t>
            </w:r>
            <w:r>
              <w:t xml:space="preserve"> est cru. Par défaut </w:t>
            </w:r>
            <w:r>
              <w:rPr>
                <w:rStyle w:val="CodeCar"/>
              </w:rPr>
              <w:t xml:space="preserve">10.0.0.0/8</w:t>
            </w:r>
            <w:r>
              <w:t xml:space="preserve">, </w:t>
            </w:r>
            <w:r>
              <w:rPr>
                <w:rStyle w:val="CodeCar"/>
              </w:rPr>
              <w:t xml:space="preserve">172.16.0.0/12</w:t>
            </w:r>
            <w:r>
              <w:t xml:space="preserve">, </w:t>
            </w:r>
            <w:r>
              <w:rPr>
                <w:rStyle w:val="CodeCar"/>
              </w:rPr>
              <w:t xml:space="preserve">192.168.0.0/16</w:t>
            </w:r>
            <w:r>
              <w:t xml:space="preserve">, </w:t>
            </w:r>
            <w:r>
              <w:rPr>
                <w:rStyle w:val="CodeCar"/>
              </w:rPr>
              <w:t xml:space="preserve">fc00::/7</w:t>
            </w:r>
            <w:r>
              <w:t xml:space="preserve"> (réseau Docker)</w:t>
            </w:r>
          </w:p>
        </w:tc>
      </w:tr>
      <w:tr>
        <w:trPr>
          <w:cantSplit/>
        </w:trPr>
        <w:tc>
          <w:tcPr>
            <w:tcW w:w="4472" w:type="dxa"/>
          </w:tcPr>
          <w:p>
            <w:pPr>
              <w:pStyle w:val="Tableau"/>
            </w:pPr>
            <w:r>
              <w:rPr>
                <w:rStyle w:val="CodeCar"/>
              </w:rPr>
              <w:t xml:space="preserve">Securite__PolitiqueContenuRapportSeulement</w:t>
            </w:r>
          </w:p>
        </w:tc>
        <w:tc>
          <w:tcPr>
            <w:tcW w:w="1171" w:type="dxa"/>
          </w:tcPr>
          <w:p>
            <w:pPr>
              <w:pStyle w:val="Tableau"/>
            </w:pPr>
            <w:r>
              <w:rPr>
                <w:rStyle w:val="CodeCar"/>
              </w:rPr>
              <w:t xml:space="preserve">false</w:t>
            </w:r>
          </w:p>
        </w:tc>
        <w:tc>
          <w:tcPr>
            <w:tcW w:w="3993" w:type="dxa"/>
          </w:tcPr>
          <w:p>
            <w:pPr>
              <w:pStyle w:val="Tableau"/>
            </w:pPr>
            <w:r>
              <w:rPr>
                <w:rStyle w:val="CodeCar"/>
              </w:rPr>
              <w:t xml:space="preserve">true</w:t>
            </w:r>
            <w:r>
              <w:t xml:space="preserve"> : la politique de sécurité du contenu (CSP) est seulement signalée par le navigateur, sans rien bloquer. Repli de dépannage, à ne pas laisser en service</w:t>
            </w:r>
          </w:p>
        </w:tc>
      </w:tr>
      <w:tr>
        <w:trPr>
          <w:cantSplit/>
        </w:trPr>
        <w:tc>
          <w:tcPr>
            <w:tcW w:w="4472" w:type="dxa"/>
          </w:tcPr>
          <w:p>
            <w:pPr>
              <w:pStyle w:val="Tableau"/>
            </w:pPr>
            <w:r>
              <w:rPr>
                <w:rStyle w:val="CodeCar"/>
              </w:rPr>
              <w:t xml:space="preserve">Securite__IntervalleRevalidationSecondes</w:t>
            </w:r>
          </w:p>
        </w:tc>
        <w:tc>
          <w:tcPr>
            <w:tcW w:w="1171" w:type="dxa"/>
          </w:tcPr>
          <w:p>
            <w:pPr>
              <w:pStyle w:val="Tableau"/>
            </w:pPr>
            <w:r>
              <w:rPr>
                <w:rStyle w:val="CodeCar"/>
              </w:rPr>
              <w:t xml:space="preserve">60</w:t>
            </w:r>
          </w:p>
        </w:tc>
        <w:tc>
          <w:tcPr>
            <w:tcW w:w="3993" w:type="dxa"/>
          </w:tcPr>
          <w:p>
            <w:pPr>
              <w:pStyle w:val="Tableau"/>
            </w:pPr>
            <w:r>
              <w:t xml:space="preserve">Délai au bout duquel une session ouverte voit un compte désactivé ou un rôle changé</w:t>
            </w:r>
          </w:p>
        </w:tc>
      </w:tr>
      <w:tr>
        <w:trPr>
          <w:cantSplit/>
        </w:trPr>
        <w:tc>
          <w:tcPr>
            <w:tcW w:w="4472" w:type="dxa"/>
          </w:tcPr>
          <w:p>
            <w:pPr>
              <w:pStyle w:val="Tableau"/>
            </w:pPr>
            <w:r>
              <w:rPr>
                <w:rStyle w:val="CodeCar"/>
              </w:rPr>
              <w:t xml:space="preserve">Api__DureeJetonAccesMinutes</w:t>
            </w:r>
          </w:p>
        </w:tc>
        <w:tc>
          <w:tcPr>
            <w:tcW w:w="1171" w:type="dxa"/>
          </w:tcPr>
          <w:p>
            <w:pPr>
              <w:pStyle w:val="Tableau"/>
            </w:pPr>
            <w:r>
              <w:rPr>
                <w:rStyle w:val="CodeCar"/>
              </w:rPr>
              <w:t xml:space="preserve">30</w:t>
            </w:r>
          </w:p>
        </w:tc>
        <w:tc>
          <w:tcPr>
            <w:tcW w:w="3993" w:type="dxa"/>
          </w:tcPr>
          <w:p>
            <w:pPr>
              <w:pStyle w:val="Tableau"/>
            </w:pPr>
            <w:r>
              <w:t xml:space="preserve">Durée d'un jeton d'accès de l'API</w:t>
            </w:r>
          </w:p>
        </w:tc>
      </w:tr>
      <w:tr>
        <w:trPr>
          <w:cantSplit/>
        </w:trPr>
        <w:tc>
          <w:tcPr>
            <w:tcW w:w="4472" w:type="dxa"/>
          </w:tcPr>
          <w:p>
            <w:pPr>
              <w:pStyle w:val="Tableau"/>
            </w:pPr>
            <w:r>
              <w:rPr>
                <w:rStyle w:val="CodeCar"/>
              </w:rPr>
              <w:t xml:space="preserve">Api__DureeRenouvellementJours</w:t>
            </w:r>
          </w:p>
        </w:tc>
        <w:tc>
          <w:tcPr>
            <w:tcW w:w="1171" w:type="dxa"/>
          </w:tcPr>
          <w:p>
            <w:pPr>
              <w:pStyle w:val="Tableau"/>
            </w:pPr>
            <w:r>
              <w:rPr>
                <w:rStyle w:val="CodeCar"/>
              </w:rPr>
              <w:t xml:space="preserve">14</w:t>
            </w:r>
          </w:p>
        </w:tc>
        <w:tc>
          <w:tcPr>
            <w:tcW w:w="3993" w:type="dxa"/>
          </w:tcPr>
          <w:p>
            <w:pPr>
              <w:pStyle w:val="Tableau"/>
            </w:pPr>
            <w:r>
              <w:t xml:space="preserve">Durée glissante du jeton de renouvellement (module hors ligne)</w:t>
            </w:r>
          </w:p>
        </w:tc>
      </w:tr>
      <w:tr>
        <w:trPr>
          <w:cantSplit/>
        </w:trPr>
        <w:tc>
          <w:tcPr>
            <w:tcW w:w="4472" w:type="dxa"/>
          </w:tcPr>
          <w:p>
            <w:pPr>
              <w:pStyle w:val="Tableau"/>
            </w:pPr>
            <w:r>
              <w:rPr>
                <w:rStyle w:val="CodeCar"/>
              </w:rPr>
              <w:t xml:space="preserve">Api__DureeMaximaleJours</w:t>
            </w:r>
          </w:p>
        </w:tc>
        <w:tc>
          <w:tcPr>
            <w:tcW w:w="1171" w:type="dxa"/>
          </w:tcPr>
          <w:p>
            <w:pPr>
              <w:pStyle w:val="Tableau"/>
            </w:pPr>
            <w:r>
              <w:rPr>
                <w:rStyle w:val="CodeCar"/>
              </w:rPr>
              <w:t xml:space="preserve">90</w:t>
            </w:r>
          </w:p>
        </w:tc>
        <w:tc>
          <w:tcPr>
            <w:tcW w:w="3993" w:type="dxa"/>
          </w:tcPr>
          <w:p>
            <w:pPr>
              <w:pStyle w:val="Tableau"/>
            </w:pPr>
            <w:r>
              <w:t xml:space="preserve">Au-delà, le mot de passe est redemandé sur l'appareil</w:t>
            </w:r>
          </w:p>
        </w:tc>
      </w:tr>
      <w:tr>
        <w:trPr>
          <w:cantSplit/>
        </w:trPr>
        <w:tc>
          <w:tcPr>
            <w:tcW w:w="4472" w:type="dxa"/>
          </w:tcPr>
          <w:p>
            <w:pPr>
              <w:pStyle w:val="Tableau"/>
            </w:pPr>
            <w:r>
              <w:rPr>
                <w:rStyle w:val="CodeCar"/>
              </w:rPr>
              <w:t xml:space="preserve">Api__DelaiRejeuSecondes</w:t>
            </w:r>
          </w:p>
        </w:tc>
        <w:tc>
          <w:tcPr>
            <w:tcW w:w="1171" w:type="dxa"/>
          </w:tcPr>
          <w:p>
            <w:pPr>
              <w:pStyle w:val="Tableau"/>
            </w:pPr>
            <w:r>
              <w:rPr>
                <w:rStyle w:val="CodeCar"/>
              </w:rPr>
              <w:t xml:space="preserve">120</w:t>
            </w:r>
          </w:p>
        </w:tc>
        <w:tc>
          <w:tcPr>
            <w:tcW w:w="3993" w:type="dxa"/>
          </w:tcPr>
          <w:p>
            <w:pPr>
              <w:pStyle w:val="Tableau"/>
            </w:pPr>
            <w:r>
              <w:t xml:space="preserve">Rejeu toléré d'un jeton de renouvellement tout juste utilisé (réseau instable)</w:t>
            </w:r>
          </w:p>
        </w:tc>
      </w:tr>
      <w:tr>
        <w:trPr>
          <w:cantSplit/>
        </w:trPr>
        <w:tc>
          <w:tcPr>
            <w:tcW w:w="4472" w:type="dxa"/>
          </w:tcPr>
          <w:p>
            <w:pPr>
              <w:pStyle w:val="Tableau"/>
            </w:pPr>
            <w:r>
              <w:rPr>
                <w:rStyle w:val="CodeCar"/>
              </w:rPr>
              <w:t xml:space="preserve">Api__AppelsParMinute</w:t>
            </w:r>
          </w:p>
        </w:tc>
        <w:tc>
          <w:tcPr>
            <w:tcW w:w="1171" w:type="dxa"/>
          </w:tcPr>
          <w:p>
            <w:pPr>
              <w:pStyle w:val="Tableau"/>
            </w:pPr>
            <w:r>
              <w:rPr>
                <w:rStyle w:val="CodeCar"/>
              </w:rPr>
              <w:t xml:space="preserve">300</w:t>
            </w:r>
          </w:p>
        </w:tc>
        <w:tc>
          <w:tcPr>
            <w:tcW w:w="3993" w:type="dxa"/>
          </w:tcPr>
          <w:p>
            <w:pPr>
              <w:pStyle w:val="Tableau"/>
            </w:pPr>
            <w:r>
              <w:t xml:space="preserve">Appels à l'API par minute et par adresse IP</w:t>
            </w:r>
          </w:p>
        </w:tc>
      </w:tr>
      <w:tr>
        <w:trPr>
          <w:cantSplit/>
        </w:trPr>
        <w:tc>
          <w:tcPr>
            <w:tcW w:w="4472" w:type="dxa"/>
          </w:tcPr>
          <w:p>
            <w:pPr>
              <w:pStyle w:val="Tableau"/>
            </w:pPr>
            <w:r>
              <w:rPr>
                <w:rStyle w:val="CodeCar"/>
              </w:rPr>
              <w:t xml:space="preserve">Notifications__Auto</w:t>
            </w:r>
          </w:p>
        </w:tc>
        <w:tc>
          <w:tcPr>
            <w:tcW w:w="1171" w:type="dxa"/>
          </w:tcPr>
          <w:p>
            <w:pPr>
              <w:pStyle w:val="Tableau"/>
            </w:pPr>
            <w:r>
              <w:rPr>
                <w:rStyle w:val="CodeCar"/>
              </w:rPr>
              <w:t xml:space="preserve">true</w:t>
            </w:r>
          </w:p>
        </w:tc>
        <w:tc>
          <w:tcPr>
            <w:tcW w:w="3993" w:type="dxa"/>
          </w:tcPr>
          <w:p>
            <w:pPr>
              <w:pStyle w:val="Tableau"/>
            </w:pPr>
            <w:r>
              <w:rPr>
                <w:rStyle w:val="CodeCar"/>
              </w:rPr>
              <w:t xml:space="preserve">false</w:t>
            </w:r>
            <w:r>
              <w:t xml:space="preserve"> : arrête l'envoi des e-mails de notification, les rappels et la purge des notifications</w:t>
            </w:r>
          </w:p>
        </w:tc>
      </w:tr>
      <w:tr>
        <w:trPr>
          <w:cantSplit/>
        </w:trPr>
        <w:tc>
          <w:tcPr>
            <w:tcW w:w="4472" w:type="dxa"/>
          </w:tcPr>
          <w:p>
            <w:pPr>
              <w:pStyle w:val="Tableau"/>
            </w:pPr>
            <w:r>
              <w:rPr>
                <w:rStyle w:val="CodeCar"/>
              </w:rPr>
              <w:t xml:space="preserve">PiecesJointes__PurgeAuto</w:t>
            </w:r>
          </w:p>
        </w:tc>
        <w:tc>
          <w:tcPr>
            <w:tcW w:w="1171" w:type="dxa"/>
          </w:tcPr>
          <w:p>
            <w:pPr>
              <w:pStyle w:val="Tableau"/>
            </w:pPr>
            <w:r>
              <w:rPr>
                <w:rStyle w:val="CodeCar"/>
              </w:rPr>
              <w:t xml:space="preserve">true</w:t>
            </w:r>
          </w:p>
        </w:tc>
        <w:tc>
          <w:tcPr>
            <w:tcW w:w="3993" w:type="dxa"/>
          </w:tcPr>
          <w:p>
            <w:pPr>
              <w:pStyle w:val="Tableau"/>
            </w:pPr>
            <w:r>
              <w:rPr>
                <w:rStyle w:val="CodeCar"/>
              </w:rPr>
              <w:t xml:space="preserve">false</w:t>
            </w:r>
            <w:r>
              <w:t xml:space="preserve"> : arrête les tâches quotidiennes de conservation (listes de présence échues, demandes refusées, jetons expirés)</w:t>
            </w:r>
          </w:p>
        </w:tc>
      </w:tr>
      <w:tr>
        <w:trPr>
          <w:cantSplit/>
        </w:trPr>
        <w:tc>
          <w:tcPr>
            <w:tcW w:w="4472" w:type="dxa"/>
          </w:tcPr>
          <w:p>
            <w:pPr>
              <w:pStyle w:val="Tableau"/>
            </w:pPr>
            <w:r>
              <w:rPr>
                <w:rStyle w:val="CodeCar"/>
              </w:rPr>
              <w:t xml:space="preserve">Serilog__MinimumLevel__Default</w:t>
            </w:r>
          </w:p>
        </w:tc>
        <w:tc>
          <w:tcPr>
            <w:tcW w:w="1171" w:type="dxa"/>
          </w:tcPr>
          <w:p>
            <w:pPr>
              <w:pStyle w:val="Tableau"/>
            </w:pPr>
            <w:r>
              <w:rPr>
                <w:rStyle w:val="CodeCar"/>
              </w:rPr>
              <w:t xml:space="preserve">Information</w:t>
            </w:r>
          </w:p>
        </w:tc>
        <w:tc>
          <w:tcPr>
            <w:tcW w:w="3993" w:type="dxa"/>
          </w:tcPr>
          <w:p>
            <w:pPr>
              <w:pStyle w:val="Tableau"/>
            </w:pPr>
            <w:r>
              <w:t xml:space="preserve">Niveau des journaux (</w:t>
            </w:r>
            <w:r>
              <w:rPr>
                <w:rStyle w:val="CodeCar"/>
              </w:rPr>
              <w:t xml:space="preserve">Debug</w:t>
            </w:r>
            <w:r>
              <w:t xml:space="preserve"> pour un diagnostic ponctuel)</w:t>
            </w:r>
          </w:p>
        </w:tc>
      </w:tr>
    </w:tbl>
    <w:p>
      <w:pPr>
        <w:spacing w:before="0" w:after="0"/>
      </w:pPr>
    </w:p>
    <w:p>
      <w:pPr/>
      <w:r>
        <w:t xml:space="preserve">Réglages fixés par l'image ou par </w:t>
      </w:r>
      <w:r>
        <w:rPr>
          <w:rStyle w:val="CodeCar"/>
        </w:rPr>
        <w:t xml:space="preserve">deploy/docker-compose.yml</w:t>
      </w:r>
      <w:r>
        <w:t xml:space="preserve">, à ne pas modifier : </w:t>
      </w:r>
      <w:r>
        <w:rPr>
          <w:rStyle w:val="CodeCar"/>
        </w:rPr>
        <w:t xml:space="preserve">ConnectionStrings__Read</w:t>
      </w:r>
      <w:r>
        <w:t xml:space="preserve"> (construite</w:t>
      </w:r>
      <w:r>
        <w:t xml:space="preserve"> </w:t>
      </w:r>
      <w:r>
        <w:t xml:space="preserve">à partir des variables </w:t>
      </w:r>
      <w:r>
        <w:rPr>
          <w:rStyle w:val="CodeCar"/>
        </w:rPr>
        <w:t xml:space="preserve">POSTGRES_*</w:t>
      </w:r>
      <w:r>
        <w:t xml:space="preserve">), </w:t>
      </w:r>
      <w:r>
        <w:rPr>
          <w:rStyle w:val="CodeCar"/>
        </w:rPr>
        <w:t xml:space="preserve">Base__Migrer</w:t>
      </w:r>
      <w:r>
        <w:t xml:space="preserve"> (</w:t>
      </w:r>
      <w:r>
        <w:rPr>
          <w:rStyle w:val="CodeCar"/>
        </w:rPr>
        <w:t xml:space="preserve">false</w:t>
      </w:r>
      <w:r>
        <w:t xml:space="preserve"> : l'application ne migre pas elle-même, le service</w:t>
      </w:r>
      <w:r>
        <w:t xml:space="preserve"> </w:t>
      </w:r>
      <w:r>
        <w:rPr>
          <w:rStyle w:val="CodeCar"/>
        </w:rPr>
        <w:t xml:space="preserve">migrations</w:t>
      </w:r>
      <w:r>
        <w:t xml:space="preserve"> le fait), </w:t>
      </w:r>
      <w:r>
        <w:rPr>
          <w:rStyle w:val="CodeCar"/>
        </w:rPr>
        <w:t xml:space="preserve">Base__MigrerSeulement</w:t>
      </w:r>
      <w:r>
        <w:t xml:space="preserve"> (service </w:t>
      </w:r>
      <w:r>
        <w:rPr>
          <w:rStyle w:val="CodeCar"/>
        </w:rPr>
        <w:t xml:space="preserve">migrations</w:t>
      </w:r>
      <w:r>
        <w:t xml:space="preserve">), </w:t>
      </w:r>
      <w:r>
        <w:rPr>
          <w:rStyle w:val="CodeCar"/>
        </w:rPr>
        <w:t xml:space="preserve">Base__RoleApplication</w:t>
      </w:r>
      <w:r>
        <w:t xml:space="preserve"> et</w:t>
      </w:r>
      <w:r>
        <w:t xml:space="preserve"> </w:t>
      </w:r>
      <w:r>
        <w:rPr>
          <w:rStyle w:val="CodeCar"/>
        </w:rPr>
        <w:t xml:space="preserve">Base__MotDePasseRoleApplication</w:t>
      </w:r>
      <w:r>
        <w:t xml:space="preserve"> (rôle restreint), </w:t>
      </w:r>
      <w:r>
        <w:rPr>
          <w:rStyle w:val="CodeCar"/>
        </w:rPr>
        <w:t xml:space="preserve">Base__InitialiserAuDemarrage</w:t>
      </w:r>
      <w:r>
        <w:t xml:space="preserve"> (</w:t>
      </w:r>
      <w:r>
        <w:rPr>
          <w:rStyle w:val="CodeCar"/>
        </w:rPr>
        <w:t xml:space="preserve">true</w:t>
      </w:r>
      <w:r>
        <w:t xml:space="preserve">), </w:t>
      </w:r>
      <w:r>
        <w:rPr>
          <w:rStyle w:val="CodeCar"/>
        </w:rPr>
        <w:t xml:space="preserve">Stockage__Dossier</w:t>
      </w:r>
      <w:r>
        <w:t xml:space="preserve"> </w:t>
      </w:r>
      <w:r>
        <w:t xml:space="preserve">(</w:t>
      </w:r>
      <w:r>
        <w:rPr>
          <w:rStyle w:val="CodeCar"/>
        </w:rPr>
        <w:t xml:space="preserve">donnees</w:t>
      </w:r>
      <w:r>
        <w:t xml:space="preserve">, soit </w:t>
      </w:r>
      <w:r>
        <w:rPr>
          <w:rStyle w:val="CodeCar"/>
        </w:rPr>
        <w:t xml:space="preserve">/app/donnees</w:t>
      </w:r>
      <w:r>
        <w:t xml:space="preserve"> dans le conteneur), </w:t>
      </w:r>
      <w:r>
        <w:rPr>
          <w:rStyle w:val="CodeCar"/>
        </w:rPr>
        <w:t xml:space="preserve">DataProtection__KeysPath</w:t>
      </w:r>
      <w:r>
        <w:t xml:space="preserve"> (</w:t>
      </w:r>
      <w:r>
        <w:rPr>
          <w:rStyle w:val="CodeCar"/>
        </w:rPr>
        <w:t xml:space="preserve">/app/keys</w:t>
      </w:r>
      <w:r>
        <w:t xml:space="preserve">), </w:t>
      </w:r>
      <w:r>
        <w:rPr>
          <w:rStyle w:val="CodeCar"/>
        </w:rPr>
        <w:t xml:space="preserve">ASPNETCORE_HTTP_PORTS</w:t>
      </w:r>
      <w:r>
        <w:t xml:space="preserve"> </w:t>
      </w:r>
      <w:r>
        <w:t xml:space="preserve">(</w:t>
      </w:r>
      <w:r>
        <w:rPr>
          <w:rStyle w:val="CodeCar"/>
        </w:rPr>
        <w:t xml:space="preserve">8080</w:t>
      </w:r>
      <w:r>
        <w:t xml:space="preserve">).</w:t>
      </w:r>
    </w:p>
    <w:tbl>
      <w:tblPr>
        <w:tblW w:w="5000" w:type="pct"/>
        <w:tblCellMar>
          <w:top w:w="100" w:type="dxa"/>
          <w:left w:w="200" w:type="dxa"/>
          <w:bottom w:w="60" w:type="dxa"/>
          <w:right w:w="200" w:type="dxa"/>
        </w:tblCellMar>
      </w:tblPr>
      <w:tr>
        <w:trPr>
          <w:cantSplit/>
        </w:trPr>
        <w:tc>
          <w:tcPr>
            <w:tcW w:w="5000" w:type="pct"/>
            <w:tcBorders>
              <w:left w:val="single" w:color="C0262D" w:sz="24"/>
            </w:tcBorders>
            <w:shd w:val="clear" w:color="auto" w:fill="FDEEEE"/>
          </w:tcPr>
          <w:p>
            <w:pPr>
              <w:pStyle w:val="Encadre"/>
            </w:pPr>
            <w:r>
              <w:rPr>
                <w:b/>
                <w:color w:val="C0262D"/>
              </w:rPr>
              <w:t xml:space="preserve">Danger</w:t>
            </w:r>
          </w:p>
          <w:p>
            <w:pPr>
              <w:pStyle w:val="Encadre"/>
            </w:pPr>
            <w:r>
              <w:t xml:space="preserve">Les tâches de conservation (</w:t>
            </w:r>
            <w:r>
              <w:rPr>
                <w:rStyle w:val="CodeCar"/>
              </w:rPr>
              <w:t xml:space="preserve">PiecesJointes__PurgeAuto</w:t>
            </w:r>
            <w:r>
              <w:t xml:space="preserve">) appliquent des engagements de protection des données (listes</w:t>
            </w:r>
            <w:r>
              <w:t xml:space="preserve"> </w:t>
            </w:r>
            <w:r>
              <w:t xml:space="preserve">de présence supprimées à échéance, coordonnées effacées). Ne les désactivez que le temps d'un diagnostic.</w:t>
            </w:r>
          </w:p>
        </w:tc>
      </w:tr>
    </w:tbl>
    <w:p>
      <w:pPr>
        <w:spacing w:before="0" w:after="0"/>
      </w:pPr>
    </w:p>
    <w:p>
      <w:pPr>
        <w:pStyle w:val="Surtitre"/>
      </w:pPr>
      <w:r>
        <w:t xml:space="preserve">CHAPITRE 5</w:t>
      </w:r>
    </w:p>
    <w:p>
      <w:pPr>
        <w:pStyle w:val="Heading1"/>
      </w:pPr>
      <w:bookmarkStart w:name="_s35" w:id="35"/>
      <w:r>
        <w:t xml:space="preserve">Déploiement et mises à jour</w:t>
      </w:r>
      <w:bookmarkEnd w:id="35"/>
    </w:p>
    <w:p>
      <w:pPr>
        <w:pStyle w:val="Chapeau"/>
      </w:pPr>
      <w:r>
        <w:t xml:space="preserve">Déployer une nouvelle version, revenir à la précédente, comprendre les migrations et tenir à jour les composants chaque mois.</w:t>
      </w:r>
    </w:p>
    <w:p>
      <w:pPr>
        <w:pStyle w:val="Note"/>
      </w:pPr>
      <w:r>
        <w:t xml:space="preserve">Concerne : </w:t>
      </w:r>
      <w:r>
        <w:rPr>
          <w:b/>
        </w:rPr>
        <w:t xml:space="preserve">Équipe technique</w:t>
      </w:r>
    </w:p>
    <w:p>
      <w:pPr>
        <w:pStyle w:val="Heading2"/>
      </w:pPr>
      <w:bookmarkStart w:name="_s36" w:id="36"/>
      <w:r>
        <w:rPr>
          <w:color w:val="D9480F"/>
        </w:rPr>
        <w:t xml:space="preserve">5.1  </w:t>
      </w:r>
      <w:r>
        <w:t xml:space="preserve">Principe</w:t>
      </w:r>
      <w:bookmarkEnd w:id="36"/>
    </w:p>
    <w:p>
      <w:pPr/>
      <w:r>
        <w:t xml:space="preserve">Le déploiement part toujours du </w:t>
      </w:r>
      <w:r>
        <w:rPr>
          <w:b/>
        </w:rPr>
        <w:t xml:space="preserve">poste de l'équipe technique</w:t>
      </w:r>
      <w:r>
        <w:t xml:space="preserve">, qui détient le dépôt Git. Le script</w:t>
      </w:r>
      <w:r>
        <w:t xml:space="preserve"> </w:t>
      </w:r>
      <w:r>
        <w:rPr>
          <w:rStyle w:val="CodeCar"/>
        </w:rPr>
        <w:t xml:space="preserve">deploy/deployer.sh</w:t>
      </w:r>
      <w:r>
        <w:t xml:space="preserve"> :</w:t>
      </w:r>
    </w:p>
    <w:p>
      <w:pPr>
        <w:pStyle w:val="ListParagraph"/>
        <w:numPr>
          <w:ilvl w:val="0"/>
          <w:numId w:val="16"/>
        </w:numPr>
      </w:pPr>
      <w:r>
        <w:t xml:space="preserve">signale les fichiers suivis modifiés mais non commités (ils ne seront pas déployés) ;</w:t>
      </w:r>
    </w:p>
    <w:p>
      <w:pPr>
        <w:pStyle w:val="ListParagraph"/>
        <w:numPr>
          <w:ilvl w:val="0"/>
          <w:numId w:val="16"/>
        </w:numPr>
      </w:pPr>
      <w:r>
        <w:t xml:space="preserve">envoie au serveur, par SSH, l'archive du </w:t>
      </w:r>
      <w:r>
        <w:rPr>
          <w:b/>
        </w:rPr>
        <w:t xml:space="preserve">commit courant</w:t>
      </w:r>
      <w:r>
        <w:t xml:space="preserve"> (</w:t>
      </w:r>
      <w:r>
        <w:rPr>
          <w:rStyle w:val="CodeCar"/>
        </w:rPr>
        <w:t xml:space="preserve">git archive HEAD</w:t>
      </w:r>
      <w:r>
        <w:t xml:space="preserve">) : jamais un fichier non commité,</w:t>
      </w:r>
      <w:r>
        <w:t xml:space="preserve"> </w:t>
      </w:r>
      <w:r>
        <w:t xml:space="preserve">jamais </w:t>
      </w:r>
      <w:r>
        <w:rPr>
          <w:rStyle w:val="CodeCar"/>
        </w:rPr>
        <w:t xml:space="preserve">deploy/.env</w:t>
      </w:r>
      <w:r>
        <w:t xml:space="preserve"> ;</w:t>
      </w:r>
    </w:p>
    <w:p>
      <w:pPr>
        <w:pStyle w:val="ListParagraph"/>
        <w:numPr>
          <w:ilvl w:val="0"/>
          <w:numId w:val="16"/>
        </w:numPr>
      </w:pPr>
      <w:r>
        <w:t xml:space="preserve">sur le serveur, décompresse le code dans </w:t>
      </w:r>
      <w:r>
        <w:rPr>
          <w:rStyle w:val="CodeCar"/>
        </w:rPr>
        <w:t xml:space="preserve">/opt/read/code.nouveau</w:t>
      </w:r>
      <w:r>
        <w:t xml:space="preserve">, y lie </w:t>
      </w:r>
      <w:r>
        <w:rPr>
          <w:rStyle w:val="CodeCar"/>
        </w:rPr>
        <w:t xml:space="preserve">/opt/read/.env</w:t>
      </w:r>
      <w:r>
        <w:t xml:space="preserve"> et écrit le commit dans</w:t>
      </w:r>
      <w:r>
        <w:t xml:space="preserve"> </w:t>
      </w:r>
      <w:r>
        <w:rPr>
          <w:rStyle w:val="CodeCar"/>
        </w:rPr>
        <w:t xml:space="preserve">VERSION</w:t>
      </w:r>
      <w:r>
        <w:t xml:space="preserve"> ;</w:t>
      </w:r>
    </w:p>
    <w:p>
      <w:pPr>
        <w:pStyle w:val="ListParagraph"/>
        <w:numPr>
          <w:ilvl w:val="0"/>
          <w:numId w:val="16"/>
        </w:numPr>
      </w:pPr>
      <w:r>
        <w:t xml:space="preserve">remplace </w:t>
      </w:r>
      <w:r>
        <w:rPr>
          <w:rStyle w:val="CodeCar"/>
        </w:rPr>
        <w:t xml:space="preserve">/opt/read/code</w:t>
      </w:r>
      <w:r>
        <w:t xml:space="preserve"> par la nouvelle version et garde la précédente dans </w:t>
      </w:r>
      <w:r>
        <w:rPr>
          <w:rStyle w:val="CodeCar"/>
        </w:rPr>
        <w:t xml:space="preserve">/opt/read/code.ancien</w:t>
      </w:r>
      <w:r>
        <w:t xml:space="preserve"> ;</w:t>
      </w:r>
    </w:p>
    <w:p>
      <w:pPr>
        <w:pStyle w:val="ListParagraph"/>
        <w:numPr>
          <w:ilvl w:val="0"/>
          <w:numId w:val="16"/>
        </w:numPr>
      </w:pPr>
      <w:r>
        <w:t xml:space="preserve">lance </w:t>
      </w:r>
      <w:r>
        <w:rPr>
          <w:rStyle w:val="CodeCar"/>
        </w:rPr>
        <w:t xml:space="preserve">docker compose up -d --build</w:t>
      </w:r>
      <w:r>
        <w:t xml:space="preserve"> en arrière-plan, avec le compte rendu dans </w:t>
      </w:r>
      <w:r>
        <w:rPr>
          <w:rStyle w:val="CodeCar"/>
        </w:rPr>
        <w:t xml:space="preserve">/opt/read/deploiement.log</w:t>
      </w:r>
      <w:r>
        <w:t xml:space="preserve">.</w:t>
      </w:r>
    </w:p>
    <w:p>
      <w:pPr/>
      <w:r>
        <w:t xml:space="preserve">Le serveur n'a besoin d'aucun accès au dépôt Git.</w:t>
      </w:r>
    </w:p>
    <w:p>
      <w:pPr>
        <w:pStyle w:val="Heading2"/>
      </w:pPr>
      <w:bookmarkStart w:name="_s37" w:id="37"/>
      <w:r>
        <w:rPr>
          <w:color w:val="D9480F"/>
        </w:rPr>
        <w:t xml:space="preserve">5.2  </w:t>
      </w:r>
      <w:r>
        <w:t xml:space="preserve">Déployer une nouvelle version</w:t>
      </w:r>
      <w:bookmarkEnd w:id="37"/>
    </w:p>
    <w:p>
      <w:pPr>
        <w:pStyle w:val="ListParagraph"/>
        <w:numPr>
          <w:ilvl w:val="0"/>
          <w:numId w:val="17"/>
        </w:numPr>
      </w:pPr>
      <w:r>
        <w:t xml:space="preserve">Sur le poste, placez-vous sur le commit à déployer (branche </w:t>
      </w:r>
      <w:r>
        <w:rPr>
          <w:rStyle w:val="CodeCar"/>
        </w:rPr>
        <w:t xml:space="preserve">main</w:t>
      </w:r>
      <w:r>
        <w:t xml:space="preserve"> à jour, tests réussis).</w:t>
      </w:r>
    </w:p>
    <w:p>
      <w:pPr>
        <w:pStyle w:val="ListParagraph"/>
        <w:numPr>
          <w:ilvl w:val="0"/>
          <w:numId w:val="17"/>
        </w:numPr>
      </w:pPr>
      <w:r>
        <w:t xml:space="preserve">Lancez :</w:t>
      </w:r>
    </w:p>
    <w:p>
      <w:pPr>
        <w:pStyle w:val="Code"/>
        <w:spacing w:after="160"/>
      </w:pPr>
      <w:r>
        <w:t xml:space="preserve">deploy/deployer.sh &lt;alias-ssh&gt;</w:t>
      </w:r>
    </w:p>
    <w:p>
      <w:pPr>
        <w:ind w:left="360"/>
      </w:pPr>
      <w:r>
        <w:t xml:space="preserve">Sous Windows : </w:t>
      </w:r>
      <w:r>
        <w:rPr>
          <w:rStyle w:val="CodeCar"/>
        </w:rPr>
        <w:t xml:space="preserve">SSH=/c/Windows/System32/OpenSSH/ssh.exe deploy/deployer.sh &lt;alias-ssh&gt;</w:t>
      </w:r>
      <w:r>
        <w:t xml:space="preserve">.</w:t>
      </w:r>
    </w:p>
    <w:p>
      <w:pPr>
        <w:pStyle w:val="ListParagraph"/>
        <w:numPr>
          <w:ilvl w:val="0"/>
          <w:numId w:val="17"/>
        </w:numPr>
      </w:pPr>
      <w:r>
        <w:t xml:space="preserve">Suivez la construction sur le serveur :</w:t>
      </w:r>
    </w:p>
    <w:p>
      <w:pPr>
        <w:pStyle w:val="Code"/>
        <w:spacing w:after="160"/>
      </w:pPr>
      <w:r>
        <w:t xml:space="preserve">tail -f /opt/read/deploiement.log</w:t>
      </w:r>
    </w:p>
    <w:p>
      <w:pPr>
        <w:ind w:left="360"/>
      </w:pPr>
      <w:r>
        <w:t xml:space="preserve">Les constructions suivantes réutilisent les paquets NuGet déjà téléchargés (cache de construction) : quelques</w:t>
      </w:r>
      <w:r>
        <w:t xml:space="preserve"> </w:t>
      </w:r>
      <w:r>
        <w:t xml:space="preserve">minutes suffisent.</w:t>
      </w:r>
    </w:p>
    <w:p>
      <w:pPr>
        <w:pStyle w:val="ListParagraph"/>
        <w:numPr>
          <w:ilvl w:val="0"/>
          <w:numId w:val="17"/>
        </w:numPr>
      </w:pPr>
      <w:r>
        <w:t xml:space="preserve">Vérifiez la version et l'état :</w:t>
      </w:r>
    </w:p>
    <w:p>
      <w:pPr>
        <w:pStyle w:val="Code"/>
      </w:pPr>
      <w:r>
        <w:t xml:space="preserve">cat /opt/read/code/VERSION</w:t>
      </w:r>
    </w:p>
    <w:p>
      <w:pPr>
        <w:pStyle w:val="Code"/>
        <w:spacing w:after="160"/>
      </w:pPr>
      <w:r>
        <w:t xml:space="preserve">cd /opt/read/code &amp;&amp; docker compose ps -a</w:t>
      </w:r>
    </w:p>
    <w:p>
      <w:pPr>
        <w:ind w:left="360"/>
      </w:pPr>
      <w:r>
        <w:t xml:space="preserve">Attendu : </w:t>
      </w:r>
      <w:r>
        <w:rPr>
          <w:rStyle w:val="CodeCar"/>
        </w:rPr>
        <w:t xml:space="preserve">app</w:t>
      </w:r>
      <w:r>
        <w:t xml:space="preserve"> « healthy », </w:t>
      </w:r>
      <w:r>
        <w:rPr>
          <w:rStyle w:val="CodeCar"/>
        </w:rPr>
        <w:t xml:space="preserve">migrations</w:t>
      </w:r>
      <w:r>
        <w:t xml:space="preserve"> « Exited (0) », </w:t>
      </w:r>
      <w:r>
        <w:rPr>
          <w:rStyle w:val="CodeCar"/>
        </w:rPr>
        <w:t xml:space="preserve">db</w:t>
      </w:r>
      <w:r>
        <w:t xml:space="preserve"> et </w:t>
      </w:r>
      <w:r>
        <w:rPr>
          <w:rStyle w:val="CodeCar"/>
        </w:rPr>
        <w:t xml:space="preserve">caddy</w:t>
      </w:r>
      <w:r>
        <w:t xml:space="preserve"> « Up ».</w:t>
      </w:r>
    </w:p>
    <w:p>
      <w:pPr>
        <w:pStyle w:val="ListParagraph"/>
        <w:numPr>
          <w:ilvl w:val="0"/>
          <w:numId w:val="17"/>
        </w:numPr>
      </w:pPr>
      <w:r>
        <w:t xml:space="preserve">Ouvrez le site, connectez-vous, parcourez quelques pages.</w:t>
      </w:r>
    </w:p>
    <w:p>
      <w:pPr/>
      <w:r>
        <w:t xml:space="preserve">Pendant la construction, l'ancienne version reste en service ; seul le remplacement des conteneurs provoque une coupure</w:t>
      </w:r>
      <w:r>
        <w:t xml:space="preserve"> </w:t>
      </w:r>
      <w:r>
        <w:t xml:space="preserve">de quelques secondes.</w:t>
      </w:r>
    </w:p>
    <w:tbl>
      <w:tblPr>
        <w:tblW w:w="5000" w:type="pct"/>
        <w:tblCellMar>
          <w:top w:w="100" w:type="dxa"/>
          <w:left w:w="200" w:type="dxa"/>
          <w:bottom w:w="60" w:type="dxa"/>
          <w:right w:w="200" w:type="dxa"/>
        </w:tblCellMar>
      </w:tblPr>
      <w:tr>
        <w:trPr>
          <w:cantSplit/>
        </w:trPr>
        <w:tc>
          <w:tcPr>
            <w:tcW w:w="5000" w:type="pct"/>
            <w:tcBorders>
              <w:left w:val="single" w:color="12805C" w:sz="24"/>
            </w:tcBorders>
            <w:shd w:val="clear" w:color="auto" w:fill="ECF8F3"/>
          </w:tcPr>
          <w:p>
            <w:pPr>
              <w:pStyle w:val="Encadre"/>
            </w:pPr>
            <w:r>
              <w:rPr>
                <w:b/>
                <w:color w:val="12805C"/>
              </w:rPr>
              <w:t xml:space="preserve">Conseil</w:t>
            </w:r>
          </w:p>
          <w:p>
            <w:pPr>
              <w:pStyle w:val="Encadre"/>
            </w:pPr>
            <w:r>
              <w:t xml:space="preserve">Faites une sauvegarde juste avant un déploiement qui change le schéma de la base</w:t>
            </w:r>
            <w:r>
              <w:t xml:space="preserve"> </w:t>
            </w:r>
            <w:r>
              <w:t xml:space="preserve">(</w:t>
            </w:r>
            <w:r>
              <w:rPr>
                <w:rStyle w:val="CodeCar"/>
              </w:rPr>
              <w:t xml:space="preserve">sudo /opt/read/code/deploy/sauvegarde.sh</w:t>
            </w:r>
            <w:r>
              <w:t xml:space="preserve">) : c'est elle qui permettra un retour arrière complet.</w:t>
            </w:r>
          </w:p>
        </w:tc>
      </w:tr>
    </w:tbl>
    <w:p>
      <w:pPr>
        <w:spacing w:before="0" w:after="0"/>
      </w:pPr>
    </w:p>
    <w:p>
      <w:pPr>
        <w:pStyle w:val="Heading2"/>
      </w:pPr>
      <w:bookmarkStart w:name="_s38" w:id="38"/>
      <w:r>
        <w:rPr>
          <w:color w:val="D9480F"/>
        </w:rPr>
        <w:t xml:space="preserve">5.3  </w:t>
      </w:r>
      <w:r>
        <w:t xml:space="preserve">Migrations du schéma</w:t>
      </w:r>
      <w:bookmarkEnd w:id="38"/>
    </w:p>
    <w:p>
      <w:pPr/>
      <w:r>
        <w:t xml:space="preserve">À chaque </w:t>
      </w:r>
      <w:r>
        <w:rPr>
          <w:rStyle w:val="CodeCar"/>
        </w:rPr>
        <w:t xml:space="preserve">docker compose up</w:t>
      </w:r>
      <w:r>
        <w:t xml:space="preserve">, le service </w:t>
      </w:r>
      <w:r>
        <w:rPr>
          <w:rStyle w:val="CodeCar"/>
        </w:rPr>
        <w:t xml:space="preserve">migrations</w:t>
      </w:r>
      <w:r>
        <w:t xml:space="preserve"> démarre avant l'application :</w:t>
      </w:r>
    </w:p>
    <w:p>
      <w:pPr>
        <w:pStyle w:val="ListParagraph"/>
        <w:numPr>
          <w:ilvl w:val="0"/>
          <w:numId w:val="1"/>
        </w:numPr>
      </w:pPr>
      <w:r>
        <w:t xml:space="preserve">il applique les migrations du schéma manquantes, avec le compte propriétaire (</w:t>
      </w:r>
      <w:r>
        <w:rPr>
          <w:rStyle w:val="CodeCar"/>
        </w:rPr>
        <w:t xml:space="preserve">POSTGRES_USER</w:t>
      </w:r>
      <w:r>
        <w:t xml:space="preserve">) ;</w:t>
      </w:r>
    </w:p>
    <w:p>
      <w:pPr>
        <w:pStyle w:val="ListParagraph"/>
        <w:numPr>
          <w:ilvl w:val="0"/>
          <w:numId w:val="1"/>
        </w:numPr>
      </w:pPr>
      <w:r>
        <w:t xml:space="preserve">il crée ou met à jour le rôle de l'application (</w:t>
      </w:r>
      <w:r>
        <w:rPr>
          <w:rStyle w:val="CodeCar"/>
        </w:rPr>
        <w:t xml:space="preserve">POSTGRES_APP_USER</w:t>
      </w:r>
      <w:r>
        <w:t xml:space="preserve">) : droits de lecture et d'écriture sur toutes les</w:t>
      </w:r>
      <w:r>
        <w:t xml:space="preserve"> </w:t>
      </w:r>
      <w:r>
        <w:t xml:space="preserve">tables (y compris les nouvelles), mais ni modification ni effacement du journal d'audit, ni écriture dans l'historique</w:t>
      </w:r>
      <w:r>
        <w:t xml:space="preserve"> </w:t>
      </w:r>
      <w:r>
        <w:t xml:space="preserve">des migrations ;</w:t>
      </w:r>
    </w:p>
    <w:p>
      <w:pPr>
        <w:pStyle w:val="ListParagraph"/>
        <w:numPr>
          <w:ilvl w:val="0"/>
          <w:numId w:val="1"/>
        </w:numPr>
      </w:pPr>
      <w:r>
        <w:t xml:space="preserve">il s'arrête. L'application ne démarre que s'il s'est terminé sans erreur.</w:t>
      </w:r>
    </w:p>
    <w:p>
      <w:pPr/>
      <w:r>
        <w:t xml:space="preserve">L'application ne migre jamais elle-même en production (</w:t>
      </w:r>
      <w:r>
        <w:rPr>
          <w:rStyle w:val="CodeCar"/>
        </w:rPr>
        <w:t xml:space="preserve">Base__Migrer=false</w:t>
      </w:r>
      <w:r>
        <w:t xml:space="preserve">).</w:t>
      </w:r>
    </w:p>
    <w:p>
      <w:pPr>
        <w:pStyle w:val="Heading2"/>
      </w:pPr>
      <w:bookmarkStart w:name="_s39" w:id="39"/>
      <w:r>
        <w:rPr>
          <w:color w:val="D9480F"/>
        </w:rPr>
        <w:t xml:space="preserve">5.4  </w:t>
      </w:r>
      <w:r>
        <w:t xml:space="preserve">Revenir à la version précédente</w:t>
      </w:r>
      <w:bookmarkEnd w:id="39"/>
    </w:p>
    <w:p>
      <w:pPr/>
      <w:r>
        <w:t xml:space="preserve">Si la nouvelle version pose problème, sur le serveur :</w:t>
      </w:r>
    </w:p>
    <w:p>
      <w:pPr>
        <w:pStyle w:val="Code"/>
        <w:spacing w:after="160"/>
      </w:pPr>
      <w:r>
        <w:t xml:space="preserve">cd /opt/read &amp;&amp; rm -rf code &amp;&amp; mv code.ancien code &amp;&amp; cd code &amp;&amp; docker compose up -d --build</w:t>
      </w:r>
    </w:p>
    <w:tbl>
      <w:tblPr>
        <w:tblW w:w="5000" w:type="pct"/>
        <w:tblCellMar>
          <w:top w:w="100" w:type="dxa"/>
          <w:left w:w="200" w:type="dxa"/>
          <w:bottom w:w="60" w:type="dxa"/>
          <w:right w:w="200" w:type="dxa"/>
        </w:tblCellMar>
      </w:tblPr>
      <w:tr>
        <w:trPr>
          <w:cantSplit/>
        </w:trPr>
        <w:tc>
          <w:tcPr>
            <w:tcW w:w="5000" w:type="pct"/>
            <w:tcBorders>
              <w:left w:val="single" w:color="A15C00" w:sz="24"/>
            </w:tcBorders>
            <w:shd w:val="clear" w:color="auto" w:fill="FFF6E5"/>
          </w:tcPr>
          <w:p>
            <w:pPr>
              <w:pStyle w:val="Encadre"/>
            </w:pPr>
            <w:r>
              <w:rPr>
                <w:b/>
                <w:color w:val="A15C00"/>
              </w:rPr>
              <w:t xml:space="preserve">Attention</w:t>
            </w:r>
          </w:p>
          <w:p>
            <w:pPr>
              <w:pStyle w:val="Encadre"/>
            </w:pPr>
            <w:r>
              <w:t xml:space="preserve">Une migration déjà appliquée n'est pas défaite par ce retour arrière. Si la version fautive a modifié le schéma,</w:t>
            </w:r>
            <w:r>
              <w:t xml:space="preserve"> </w:t>
            </w:r>
            <w:r>
              <w:t xml:space="preserve">l'ancienne version peut ne plus fonctionner avec la base : restaurez alors la sauvegarde faite avant le déploiement</w:t>
            </w:r>
            <w:r>
              <w:t xml:space="preserve"> </w:t>
            </w:r>
            <w:r>
              <w:t xml:space="preserve">(</w:t>
            </w:r>
            <w:hyperlink w:history="true" w:anchor="_s46">
              <w:r>
                <w:rPr>
                  <w:rStyle w:val="Hyperlink"/>
                </w:rPr>
                <w:t xml:space="preserve">Restauration</w:t>
              </w:r>
            </w:hyperlink>
            <w:r>
              <w:t xml:space="preserve">).</w:t>
            </w:r>
          </w:p>
        </w:tc>
      </w:tr>
    </w:tbl>
    <w:p>
      <w:pPr>
        <w:spacing w:before="0" w:after="0"/>
      </w:pPr>
    </w:p>
    <w:p>
      <w:pPr/>
      <w:r>
        <w:t xml:space="preserve">Un seul niveau de retour arrière est conservé sur le serveur. Pour revenir plus loin, déployez l'ancien commit depuis le</w:t>
      </w:r>
      <w:r>
        <w:t xml:space="preserve"> </w:t>
      </w:r>
      <w:r>
        <w:t xml:space="preserve">poste (</w:t>
      </w:r>
      <w:r>
        <w:rPr>
          <w:rStyle w:val="CodeCar"/>
        </w:rPr>
        <w:t xml:space="preserve">git checkout &lt;commit&gt;</w:t>
      </w:r>
      <w:r>
        <w:t xml:space="preserve"> puis </w:t>
      </w:r>
      <w:r>
        <w:rPr>
          <w:rStyle w:val="CodeCar"/>
        </w:rPr>
        <w:t xml:space="preserve">deploy/deployer.sh</w:t>
      </w:r>
      <w:r>
        <w:t xml:space="preserve">).</w:t>
      </w:r>
    </w:p>
    <w:p>
      <w:pPr>
        <w:pStyle w:val="Heading2"/>
      </w:pPr>
      <w:bookmarkStart w:name="_s40" w:id="40"/>
      <w:r>
        <w:rPr>
          <w:color w:val="D9480F"/>
        </w:rPr>
        <w:t xml:space="preserve">5.5  </w:t>
      </w:r>
      <w:r>
        <w:t xml:space="preserve">Versions figées</w:t>
      </w:r>
      <w:bookmarkEnd w:id="40"/>
    </w:p>
    <w:p>
      <w:pPr/>
      <w:r>
        <w:t xml:space="preserve">Pour qu'une construction soit reproductible, toutes les images et outils ont une version exacte :</w:t>
      </w:r>
    </w:p>
    <w:tbl>
      <w:tblPr>
        <w:tblW w:w="5000" w:type="pct"/>
        <w:tblBorders>
          <w:top w:val="single" w:color="DFE4EC" w:sz="4"/>
          <w:bottom w:val="single" w:color="DFE4EC" w:sz="4"/>
          <w:left w:val="nil"/>
          <w:right w:val="nil"/>
          <w:insideH w:val="single" w:color="DFE4EC" w:sz="4"/>
          <w:insideV w:val="nil"/>
        </w:tblBorders>
        <w:tblLayout w:type="fixed"/>
        <w:tblCellMar>
          <w:top w:w="50" w:type="dxa"/>
          <w:left w:w="100" w:type="dxa"/>
          <w:bottom w:w="50" w:type="dxa"/>
          <w:right w:w="100" w:type="dxa"/>
        </w:tblCellMar>
      </w:tblPr>
      <w:tblGrid>
        <w:gridCol w:w="1846"/>
        <w:gridCol w:w="3972"/>
        <w:gridCol w:w="3819"/>
      </w:tblGrid>
      <w:tr>
        <w:trPr>
          <w:cantSplit/>
          <w:tblHeader/>
        </w:trPr>
        <w:tc>
          <w:tcPr>
            <w:tcW w:w="1846" w:type="dxa"/>
            <w:shd w:val="clear" w:color="auto" w:fill="F4F6FA"/>
          </w:tcPr>
          <w:p>
            <w:pPr>
              <w:pStyle w:val="Tableau"/>
            </w:pPr>
            <w:r>
              <w:rPr>
                <w:b/>
              </w:rPr>
              <w:t xml:space="preserve">Composant</w:t>
            </w:r>
          </w:p>
        </w:tc>
        <w:tc>
          <w:tcPr>
            <w:tcW w:w="3972" w:type="dxa"/>
            <w:shd w:val="clear" w:color="auto" w:fill="F4F6FA"/>
          </w:tcPr>
          <w:p>
            <w:pPr>
              <w:pStyle w:val="Tableau"/>
            </w:pPr>
            <w:r>
              <w:rPr>
                <w:b/>
              </w:rPr>
              <w:t xml:space="preserve">Version</w:t>
            </w:r>
          </w:p>
        </w:tc>
        <w:tc>
          <w:tcPr>
            <w:tcW w:w="3819" w:type="dxa"/>
            <w:shd w:val="clear" w:color="auto" w:fill="F4F6FA"/>
          </w:tcPr>
          <w:p>
            <w:pPr>
              <w:pStyle w:val="Tableau"/>
            </w:pPr>
            <w:r>
              <w:rPr>
                <w:b/>
              </w:rPr>
              <w:t xml:space="preserve">Fichier</w:t>
            </w:r>
          </w:p>
        </w:tc>
      </w:tr>
      <w:tr>
        <w:trPr>
          <w:cantSplit/>
        </w:trPr>
        <w:tc>
          <w:tcPr>
            <w:tcW w:w="1846" w:type="dxa"/>
          </w:tcPr>
          <w:p>
            <w:pPr>
              <w:pStyle w:val="Tableau"/>
            </w:pPr>
            <w:r>
              <w:t xml:space="preserve">SDK .NET (construction)</w:t>
            </w:r>
          </w:p>
        </w:tc>
        <w:tc>
          <w:tcPr>
            <w:tcW w:w="3972" w:type="dxa"/>
          </w:tcPr>
          <w:p>
            <w:pPr>
              <w:pStyle w:val="Tableau"/>
            </w:pPr>
            <w:r>
              <w:rPr>
                <w:rStyle w:val="CodeCar"/>
              </w:rPr>
              <w:t xml:space="preserve">mcr.microsoft.com/dotnet/sdk:10.0.401</w:t>
            </w:r>
          </w:p>
        </w:tc>
        <w:tc>
          <w:tcPr>
            <w:tcW w:w="3819" w:type="dxa"/>
          </w:tcPr>
          <w:p>
            <w:pPr>
              <w:pStyle w:val="Tableau"/>
            </w:pPr>
            <w:r>
              <w:rPr>
                <w:rStyle w:val="CodeCar"/>
              </w:rPr>
              <w:t xml:space="preserve">Dockerfile</w:t>
            </w:r>
          </w:p>
        </w:tc>
      </w:tr>
      <w:tr>
        <w:trPr>
          <w:cantSplit/>
        </w:trPr>
        <w:tc>
          <w:tcPr>
            <w:tcW w:w="1846" w:type="dxa"/>
          </w:tcPr>
          <w:p>
            <w:pPr>
              <w:pStyle w:val="Tableau"/>
            </w:pPr>
            <w:r>
              <w:t xml:space="preserve">ASP.NET (exécution)</w:t>
            </w:r>
          </w:p>
        </w:tc>
        <w:tc>
          <w:tcPr>
            <w:tcW w:w="3972" w:type="dxa"/>
          </w:tcPr>
          <w:p>
            <w:pPr>
              <w:pStyle w:val="Tableau"/>
            </w:pPr>
            <w:r>
              <w:rPr>
                <w:rStyle w:val="CodeCar"/>
              </w:rPr>
              <w:t xml:space="preserve">mcr.microsoft.com/dotnet/aspnet:10.0.12</w:t>
            </w:r>
          </w:p>
        </w:tc>
        <w:tc>
          <w:tcPr>
            <w:tcW w:w="3819" w:type="dxa"/>
          </w:tcPr>
          <w:p>
            <w:pPr>
              <w:pStyle w:val="Tableau"/>
            </w:pPr>
            <w:r>
              <w:rPr>
                <w:rStyle w:val="CodeCar"/>
              </w:rPr>
              <w:t xml:space="preserve">Dockerfile</w:t>
            </w:r>
          </w:p>
        </w:tc>
      </w:tr>
      <w:tr>
        <w:trPr>
          <w:cantSplit/>
        </w:trPr>
        <w:tc>
          <w:tcPr>
            <w:tcW w:w="1846" w:type="dxa"/>
          </w:tcPr>
          <w:p>
            <w:pPr>
              <w:pStyle w:val="Tableau"/>
            </w:pPr>
            <w:r>
              <w:t xml:space="preserve">PostgreSQL</w:t>
            </w:r>
          </w:p>
        </w:tc>
        <w:tc>
          <w:tcPr>
            <w:tcW w:w="3972" w:type="dxa"/>
          </w:tcPr>
          <w:p>
            <w:pPr>
              <w:pStyle w:val="Tableau"/>
            </w:pPr>
            <w:r>
              <w:rPr>
                <w:rStyle w:val="CodeCar"/>
              </w:rPr>
              <w:t xml:space="preserve">postgres:16.15-alpine</w:t>
            </w:r>
          </w:p>
        </w:tc>
        <w:tc>
          <w:tcPr>
            <w:tcW w:w="3819" w:type="dxa"/>
          </w:tcPr>
          <w:p>
            <w:pPr>
              <w:pStyle w:val="Tableau"/>
            </w:pPr>
            <w:r>
              <w:rPr>
                <w:rStyle w:val="CodeCar"/>
              </w:rPr>
              <w:t xml:space="preserve">deploy/docker-compose.yml</w:t>
            </w:r>
            <w:r>
              <w:t xml:space="preserve">, </w:t>
            </w:r>
            <w:r>
              <w:rPr>
                <w:rStyle w:val="CodeCar"/>
              </w:rPr>
              <w:t xml:space="preserve">deploy/restaurer.sh</w:t>
            </w:r>
          </w:p>
        </w:tc>
      </w:tr>
      <w:tr>
        <w:trPr>
          <w:cantSplit/>
        </w:trPr>
        <w:tc>
          <w:tcPr>
            <w:tcW w:w="1846" w:type="dxa"/>
          </w:tcPr>
          <w:p>
            <w:pPr>
              <w:pStyle w:val="Tableau"/>
            </w:pPr>
            <w:r>
              <w:t xml:space="preserve">Caddy</w:t>
            </w:r>
          </w:p>
        </w:tc>
        <w:tc>
          <w:tcPr>
            <w:tcW w:w="3972" w:type="dxa"/>
          </w:tcPr>
          <w:p>
            <w:pPr>
              <w:pStyle w:val="Tableau"/>
            </w:pPr>
            <w:r>
              <w:rPr>
                <w:rStyle w:val="CodeCar"/>
              </w:rPr>
              <w:t xml:space="preserve">caddy:2.11.7-alpine</w:t>
            </w:r>
          </w:p>
        </w:tc>
        <w:tc>
          <w:tcPr>
            <w:tcW w:w="3819" w:type="dxa"/>
          </w:tcPr>
          <w:p>
            <w:pPr>
              <w:pStyle w:val="Tableau"/>
            </w:pPr>
            <w:r>
              <w:rPr>
                <w:rStyle w:val="CodeCar"/>
              </w:rPr>
              <w:t xml:space="preserve">deploy/docker-compose.yml</w:t>
            </w:r>
          </w:p>
        </w:tc>
      </w:tr>
      <w:tr>
        <w:trPr>
          <w:cantSplit/>
        </w:trPr>
        <w:tc>
          <w:tcPr>
            <w:tcW w:w="1846" w:type="dxa"/>
          </w:tcPr>
          <w:p>
            <w:pPr>
              <w:pStyle w:val="Tableau"/>
            </w:pPr>
            <w:r>
              <w:t xml:space="preserve">Alpine (outils de sauvegarde)</w:t>
            </w:r>
          </w:p>
        </w:tc>
        <w:tc>
          <w:tcPr>
            <w:tcW w:w="3972" w:type="dxa"/>
          </w:tcPr>
          <w:p>
            <w:pPr>
              <w:pStyle w:val="Tableau"/>
            </w:pPr>
            <w:r>
              <w:rPr>
                <w:rStyle w:val="CodeCar"/>
              </w:rPr>
              <w:t xml:space="preserve">alpine:3.24</w:t>
            </w:r>
          </w:p>
        </w:tc>
        <w:tc>
          <w:tcPr>
            <w:tcW w:w="3819" w:type="dxa"/>
          </w:tcPr>
          <w:p>
            <w:pPr>
              <w:pStyle w:val="Tableau"/>
            </w:pPr>
            <w:r>
              <w:rPr>
                <w:rStyle w:val="CodeCar"/>
              </w:rPr>
              <w:t xml:space="preserve">deploy/sauvegarde.sh</w:t>
            </w:r>
            <w:r>
              <w:t xml:space="preserve">, </w:t>
            </w:r>
            <w:r>
              <w:rPr>
                <w:rStyle w:val="CodeCar"/>
              </w:rPr>
              <w:t xml:space="preserve">deploy/restaurer.sh</w:t>
            </w:r>
            <w:r>
              <w:t xml:space="preserve">, </w:t>
            </w:r>
            <w:r>
              <w:rPr>
                <w:rStyle w:val="CodeCar"/>
              </w:rPr>
              <w:t xml:space="preserve">deploy/reinitialiser-demo.sh</w:t>
            </w:r>
          </w:p>
        </w:tc>
      </w:tr>
      <w:tr>
        <w:trPr>
          <w:cantSplit/>
        </w:trPr>
        <w:tc>
          <w:tcPr>
            <w:tcW w:w="1846" w:type="dxa"/>
          </w:tcPr>
          <w:p>
            <w:pPr>
              <w:pStyle w:val="Tableau"/>
            </w:pPr>
            <w:r>
              <w:t xml:space="preserve">rclone</w:t>
            </w:r>
          </w:p>
        </w:tc>
        <w:tc>
          <w:tcPr>
            <w:tcW w:w="3972" w:type="dxa"/>
          </w:tcPr>
          <w:p>
            <w:pPr>
              <w:pStyle w:val="Tableau"/>
            </w:pPr>
            <w:r>
              <w:rPr>
                <w:rStyle w:val="CodeCar"/>
              </w:rPr>
              <w:t xml:space="preserve">rclone/rclone:1.75.1</w:t>
            </w:r>
          </w:p>
        </w:tc>
        <w:tc>
          <w:tcPr>
            <w:tcW w:w="3819" w:type="dxa"/>
          </w:tcPr>
          <w:p>
            <w:pPr>
              <w:pStyle w:val="Tableau"/>
            </w:pPr>
            <w:r>
              <w:rPr>
                <w:rStyle w:val="CodeCar"/>
              </w:rPr>
              <w:t xml:space="preserve">deploy/sauvegarde.sh</w:t>
            </w:r>
          </w:p>
        </w:tc>
      </w:tr>
      <w:tr>
        <w:trPr>
          <w:cantSplit/>
        </w:trPr>
        <w:tc>
          <w:tcPr>
            <w:tcW w:w="1846" w:type="dxa"/>
          </w:tcPr>
          <w:p>
            <w:pPr>
              <w:pStyle w:val="Tableau"/>
            </w:pPr>
            <w:r>
              <w:t xml:space="preserve">Paquets NuGet</w:t>
            </w:r>
          </w:p>
        </w:tc>
        <w:tc>
          <w:tcPr>
            <w:tcW w:w="3972" w:type="dxa"/>
          </w:tcPr>
          <w:p>
            <w:pPr>
              <w:pStyle w:val="Tableau"/>
            </w:pPr>
            <w:r>
              <w:t xml:space="preserve">versions exactes</w:t>
            </w:r>
          </w:p>
        </w:tc>
        <w:tc>
          <w:tcPr>
            <w:tcW w:w="3819" w:type="dxa"/>
          </w:tcPr>
          <w:p>
            <w:pPr>
              <w:pStyle w:val="Tableau"/>
            </w:pPr>
            <w:r>
              <w:rPr>
                <w:rStyle w:val="CodeCar"/>
              </w:rPr>
              <w:t xml:space="preserve">Directory.Packages.props</w:t>
            </w:r>
          </w:p>
        </w:tc>
      </w:tr>
    </w:tbl>
    <w:p>
      <w:pPr>
        <w:spacing w:before="0" w:after="0"/>
      </w:pPr>
    </w:p>
    <w:p>
      <w:pPr>
        <w:pStyle w:val="Heading2"/>
      </w:pPr>
      <w:bookmarkStart w:name="_s41" w:id="41"/>
      <w:r>
        <w:rPr>
          <w:color w:val="D9480F"/>
        </w:rPr>
        <w:t xml:space="preserve">5.6  </w:t>
      </w:r>
      <w:r>
        <w:t xml:space="preserve">Mise à jour mensuelle</w:t>
      </w:r>
      <w:bookmarkEnd w:id="41"/>
    </w:p>
    <w:p>
      <w:pPr/>
      <w:r>
        <w:t xml:space="preserve">Chaque mois, pour recevoir les correctifs de sécurité :</w:t>
      </w:r>
    </w:p>
    <w:p>
      <w:pPr>
        <w:pStyle w:val="ListParagraph"/>
        <w:numPr>
          <w:ilvl w:val="0"/>
          <w:numId w:val="18"/>
        </w:numPr>
      </w:pPr>
      <w:r>
        <w:t xml:space="preserve">Relevez la dernière version </w:t>
      </w:r>
      <w:r>
        <w:rPr>
          <w:b/>
        </w:rPr>
        <w:t xml:space="preserve">de la même branche</w:t>
      </w:r>
      <w:r>
        <w:t xml:space="preserve"> de chaque image : Docker Hub pour </w:t>
      </w:r>
      <w:r>
        <w:rPr>
          <w:rStyle w:val="CodeCar"/>
        </w:rPr>
        <w:t xml:space="preserve">postgres:16.x-alpine</w:t>
      </w:r>
      <w:r>
        <w:t xml:space="preserve">,</w:t>
      </w:r>
      <w:r>
        <w:t xml:space="preserve"> </w:t>
      </w:r>
      <w:r>
        <w:rPr>
          <w:rStyle w:val="CodeCar"/>
        </w:rPr>
        <w:t xml:space="preserve">caddy:2.x-alpine</w:t>
      </w:r>
      <w:r>
        <w:t xml:space="preserve">, </w:t>
      </w:r>
      <w:r>
        <w:rPr>
          <w:rStyle w:val="CodeCar"/>
        </w:rPr>
        <w:t xml:space="preserve">alpine</w:t>
      </w:r>
      <w:r>
        <w:t xml:space="preserve"> et </w:t>
      </w:r>
      <w:r>
        <w:rPr>
          <w:rStyle w:val="CodeCar"/>
        </w:rPr>
        <w:t xml:space="preserve">rclone/rclone</w:t>
      </w:r>
      <w:r>
        <w:t xml:space="preserve"> ; la liste</w:t>
      </w:r>
      <w:r>
        <w:t xml:space="preserve"> </w:t>
      </w:r>
      <w:r>
        <w:rPr>
          <w:rStyle w:val="CodeCar"/>
        </w:rPr>
        <w:t xml:space="preserve">https://mcr.microsoft.com/v2/dotnet/aspnet/tags/list</w:t>
      </w:r>
      <w:r>
        <w:t xml:space="preserve"> (et </w:t>
      </w:r>
      <w:r>
        <w:rPr>
          <w:rStyle w:val="CodeCar"/>
        </w:rPr>
        <w:t xml:space="preserve">…/dotnet/sdk/…</w:t>
      </w:r>
      <w:r>
        <w:t xml:space="preserve">) pour .NET 10.</w:t>
      </w:r>
    </w:p>
    <w:p>
      <w:pPr>
        <w:pStyle w:val="ListParagraph"/>
        <w:numPr>
          <w:ilvl w:val="0"/>
          <w:numId w:val="18"/>
        </w:numPr>
      </w:pPr>
      <w:r>
        <w:t xml:space="preserve">Mettez à jour les fichiers du tableau ci-dessus.</w:t>
      </w:r>
    </w:p>
    <w:p>
      <w:pPr>
        <w:pStyle w:val="ListParagraph"/>
        <w:numPr>
          <w:ilvl w:val="0"/>
          <w:numId w:val="18"/>
        </w:numPr>
      </w:pPr>
      <w:r>
        <w:t xml:space="preserve">Lancez la suite de tests (</w:t>
      </w:r>
      <w:r>
        <w:rPr>
          <w:rStyle w:val="CodeCar"/>
        </w:rPr>
        <w:t xml:space="preserve">dotnet test</w:t>
      </w:r>
      <w:r>
        <w:t xml:space="preserve">, Docker requis), commitez.</w:t>
      </w:r>
    </w:p>
    <w:p>
      <w:pPr>
        <w:pStyle w:val="ListParagraph"/>
        <w:numPr>
          <w:ilvl w:val="0"/>
          <w:numId w:val="18"/>
        </w:numPr>
      </w:pPr>
      <w:r>
        <w:t xml:space="preserve">Faites une sauvegarde, puis déployez.</w:t>
      </w:r>
    </w:p>
    <w:p>
      <w:pPr>
        <w:pStyle w:val="ListParagraph"/>
        <w:numPr>
          <w:ilvl w:val="0"/>
          <w:numId w:val="18"/>
        </w:numPr>
      </w:pPr>
      <w:r>
        <w:t xml:space="preserve">Vérifiez le site, puis lancez une restauration d'essai.</w:t>
      </w:r>
    </w:p>
    <w:p>
      <w:pPr/>
      <w:r>
        <w:t xml:space="preserve">Le système du serveur se met à jour seul (</w:t>
      </w:r>
      <w:r>
        <w:rPr>
          <w:rStyle w:val="CodeCar"/>
        </w:rPr>
        <w:t xml:space="preserve">unattended-upgrades</w:t>
      </w:r>
      <w:r>
        <w:t xml:space="preserve">). Docker, lui, se met à jour par </w:t>
      </w:r>
      <w:r>
        <w:rPr>
          <w:rStyle w:val="CodeCar"/>
        </w:rPr>
        <w:t xml:space="preserve">apt</w:t>
      </w:r>
      <w:r>
        <w:t xml:space="preserve"> :</w:t>
      </w:r>
      <w:r>
        <w:t xml:space="preserve"> </w:t>
      </w:r>
      <w:r>
        <w:rPr>
          <w:rStyle w:val="CodeCar"/>
        </w:rPr>
        <w:t xml:space="preserve">sudo apt update &amp;&amp; sudo apt upgrade</w:t>
      </w:r>
      <w:r>
        <w:t xml:space="preserve"> lors d'une fenêtre de maintenance, suivi d'une vérification des conteneurs.</w:t>
      </w:r>
    </w:p>
    <w:tbl>
      <w:tblPr>
        <w:tblW w:w="5000" w:type="pct"/>
        <w:tblCellMar>
          <w:top w:w="100" w:type="dxa"/>
          <w:left w:w="200" w:type="dxa"/>
          <w:bottom w:w="60" w:type="dxa"/>
          <w:right w:w="200" w:type="dxa"/>
        </w:tblCellMar>
      </w:tblPr>
      <w:tr>
        <w:trPr>
          <w:cantSplit/>
        </w:trPr>
        <w:tc>
          <w:tcPr>
            <w:tcW w:w="5000" w:type="pct"/>
            <w:tcBorders>
              <w:left w:val="single" w:color="C0262D" w:sz="24"/>
            </w:tcBorders>
            <w:shd w:val="clear" w:color="auto" w:fill="FDEEEE"/>
          </w:tcPr>
          <w:p>
            <w:pPr>
              <w:pStyle w:val="Encadre"/>
            </w:pPr>
            <w:r>
              <w:rPr>
                <w:b/>
                <w:color w:val="C0262D"/>
              </w:rPr>
              <w:t xml:space="preserve">Danger</w:t>
            </w:r>
          </w:p>
          <w:p>
            <w:pPr>
              <w:pStyle w:val="Encadre"/>
            </w:pPr>
            <w:r>
              <w:t xml:space="preserve">Ne changez jamais la version </w:t>
            </w:r>
            <w:r>
              <w:rPr>
                <w:b/>
              </w:rPr>
              <w:t xml:space="preserve">majeure</w:t>
            </w:r>
            <w:r>
              <w:t xml:space="preserve"> de PostgreSQL (16) en modifiant seulement l'image : les fichiers du volume</w:t>
            </w:r>
            <w:r>
              <w:t xml:space="preserve"> </w:t>
            </w:r>
            <w:r>
              <w:rPr>
                <w:rStyle w:val="CodeCar"/>
              </w:rPr>
              <w:t xml:space="preserve">pgdata</w:t>
            </w:r>
            <w:r>
              <w:t xml:space="preserve"> ne sont pas compatibles d'une version majeure à l'autre. Une montée de version se fait par une sauvegarde</w:t>
            </w:r>
            <w:r>
              <w:t xml:space="preserve"> </w:t>
            </w:r>
            <w:r>
              <w:t xml:space="preserve">(</w:t>
            </w:r>
            <w:r>
              <w:rPr>
                <w:rStyle w:val="CodeCar"/>
              </w:rPr>
              <w:t xml:space="preserve">pg_dump</w:t>
            </w:r>
            <w:r>
              <w:t xml:space="preserve">), une base neuve et une restauration.</w:t>
            </w:r>
          </w:p>
        </w:tc>
      </w:tr>
    </w:tbl>
    <w:p>
      <w:pPr>
        <w:spacing w:before="0" w:after="0"/>
      </w:pPr>
    </w:p>
    <w:p>
      <w:pPr>
        <w:pStyle w:val="Surtitre"/>
      </w:pPr>
      <w:r>
        <w:t xml:space="preserve">CHAPITRE 6</w:t>
      </w:r>
    </w:p>
    <w:p>
      <w:pPr>
        <w:pStyle w:val="Heading1"/>
      </w:pPr>
      <w:bookmarkStart w:name="_s42" w:id="42"/>
      <w:r>
        <w:t xml:space="preserve">Sauvegarde et restauration</w:t>
      </w:r>
      <w:bookmarkEnd w:id="42"/>
    </w:p>
    <w:p>
      <w:pPr>
        <w:pStyle w:val="Chapeau"/>
      </w:pPr>
      <w:r>
        <w:t xml:space="preserve">La sauvegarde quotidienne, la copie chiffrée hors serveur, la restauration d'essai et la restauration réelle.</w:t>
      </w:r>
    </w:p>
    <w:p>
      <w:pPr>
        <w:pStyle w:val="Note"/>
      </w:pPr>
      <w:r>
        <w:t xml:space="preserve">Concerne : </w:t>
      </w:r>
      <w:r>
        <w:rPr>
          <w:b/>
        </w:rPr>
        <w:t xml:space="preserve">Équipe technique · Hébergeur</w:t>
      </w:r>
    </w:p>
    <w:p>
      <w:pPr>
        <w:pStyle w:val="Figure"/>
      </w:pPr>
      <w:r>
        <w:drawing>
          <wp:inline xmlns:wp="http://schemas.openxmlformats.org/drawingml/2006/wordprocessingDrawing" distT="0" distB="0" distL="0" distR="0">
            <wp:extent cx="6120130" cy="2468452"/>
            <wp:effectExtent l="0" t="0" r="0" b="0"/>
            <wp:docPr id="2" name="Figure 2" descr="Sauvegarde quotidienne, copie hors serveur et restaurat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 2"/>
                    <pic:cNvPicPr/>
                  </pic:nvPicPr>
                  <pic:blipFill>
                    <a:blip xmlns:r="http://schemas.openxmlformats.org/officeDocument/2006/relationships" r:embed="R35bbfaff69144d90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468452"/>
                    </a:xfrm>
                    <a:prstGeom prst="rect">
                      <a:avLst/>
                    </a:prstGeom>
                    <a:ln w="9525">
                      <a:solidFill>
                        <a:srgbClr val="C9D1DD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rPr>
          <w:b/>
        </w:rPr>
        <w:t xml:space="preserve">Figure 6.1 — </w:t>
      </w:r>
      <w:r>
        <w:t xml:space="preserve">Sauvegarde quotidienne, copie hors serveur et restauration</w:t>
      </w:r>
    </w:p>
    <w:p>
      <w:pPr>
        <w:pStyle w:val="Heading2"/>
      </w:pPr>
      <w:bookmarkStart w:name="_s43" w:id="43"/>
      <w:r>
        <w:rPr>
          <w:color w:val="D9480F"/>
        </w:rPr>
        <w:t xml:space="preserve">6.1  </w:t>
      </w:r>
      <w:r>
        <w:t xml:space="preserve">Ce qui est sauvegardé</w:t>
      </w:r>
      <w:bookmarkEnd w:id="43"/>
    </w:p>
    <w:p>
      <w:pPr/>
      <w:r>
        <w:t xml:space="preserve">Le script </w:t>
      </w:r>
      <w:r>
        <w:rPr>
          <w:rStyle w:val="CodeCar"/>
        </w:rPr>
        <w:t xml:space="preserve">deploy/sauvegarde.sh</w:t>
      </w:r>
      <w:r>
        <w:t xml:space="preserve"> produit, sans arrêter la plateforme, un dossier horodaté (heure UTC) par sauvegarde</w:t>
      </w:r>
      <w:r>
        <w:t xml:space="preserve"> </w:t>
      </w:r>
      <w:r>
        <w:t xml:space="preserve">dans </w:t>
      </w:r>
      <w:r>
        <w:rPr>
          <w:rStyle w:val="CodeCar"/>
        </w:rPr>
        <w:t xml:space="preserve">SAUVEGARDE_DOSSIER</w:t>
      </w:r>
      <w:r>
        <w:t xml:space="preserve"> (</w:t>
      </w:r>
      <w:r>
        <w:rPr>
          <w:rStyle w:val="CodeCar"/>
        </w:rPr>
        <w:t xml:space="preserve">/var/backups/read</w:t>
      </w:r>
      <w:r>
        <w:t xml:space="preserve">) :</w:t>
      </w:r>
    </w:p>
    <w:tbl>
      <w:tblPr>
        <w:tblW w:w="5000" w:type="pct"/>
        <w:tblBorders>
          <w:top w:val="single" w:color="DFE4EC" w:sz="4"/>
          <w:bottom w:val="single" w:color="DFE4EC" w:sz="4"/>
          <w:left w:val="nil"/>
          <w:right w:val="nil"/>
          <w:insideH w:val="single" w:color="DFE4EC" w:sz="4"/>
          <w:insideV w:val="nil"/>
        </w:tblBorders>
        <w:tblLayout w:type="fixed"/>
        <w:tblCellMar>
          <w:top w:w="50" w:type="dxa"/>
          <w:left w:w="100" w:type="dxa"/>
          <w:bottom w:w="50" w:type="dxa"/>
          <w:right w:w="100" w:type="dxa"/>
        </w:tblCellMar>
      </w:tblPr>
      <w:tblGrid>
        <w:gridCol w:w="3125"/>
        <w:gridCol w:w="6512"/>
      </w:tblGrid>
      <w:tr>
        <w:trPr>
          <w:cantSplit/>
          <w:tblHeader/>
        </w:trPr>
        <w:tc>
          <w:tcPr>
            <w:tcW w:w="3125" w:type="dxa"/>
            <w:shd w:val="clear" w:color="auto" w:fill="F4F6FA"/>
          </w:tcPr>
          <w:p>
            <w:pPr>
              <w:pStyle w:val="Tableau"/>
            </w:pPr>
            <w:r>
              <w:rPr>
                <w:b/>
              </w:rPr>
              <w:t xml:space="preserve">Fichier</w:t>
            </w:r>
          </w:p>
        </w:tc>
        <w:tc>
          <w:tcPr>
            <w:tcW w:w="6512" w:type="dxa"/>
            <w:shd w:val="clear" w:color="auto" w:fill="F4F6FA"/>
          </w:tcPr>
          <w:p>
            <w:pPr>
              <w:pStyle w:val="Tableau"/>
            </w:pPr>
            <w:r>
              <w:rPr>
                <w:b/>
              </w:rPr>
              <w:t xml:space="preserve">Contenu</w:t>
            </w:r>
          </w:p>
        </w:tc>
      </w:tr>
      <w:tr>
        <w:trPr>
          <w:cantSplit/>
        </w:trPr>
        <w:tc>
          <w:tcPr>
            <w:tcW w:w="3125" w:type="dxa"/>
          </w:tcPr>
          <w:p>
            <w:pPr>
              <w:pStyle w:val="Tableau"/>
            </w:pPr>
            <w:r>
              <w:rPr>
                <w:rStyle w:val="CodeCar"/>
              </w:rPr>
              <w:t xml:space="preserve">base.dump</w:t>
            </w:r>
          </w:p>
        </w:tc>
        <w:tc>
          <w:tcPr>
            <w:tcW w:w="6512" w:type="dxa"/>
          </w:tcPr>
          <w:p>
            <w:pPr>
              <w:pStyle w:val="Tableau"/>
            </w:pPr>
            <w:r>
              <w:t xml:space="preserve">Base PostgreSQL complète (</w:t>
            </w:r>
            <w:r>
              <w:rPr>
                <w:rStyle w:val="CodeCar"/>
              </w:rPr>
              <w:t xml:space="preserve">pg_dump</w:t>
            </w:r>
            <w:r>
              <w:t xml:space="preserve">, format personnalisé), sans propriétaires ni droits : un instantané cohérent même pendant l'utilisation</w:t>
            </w:r>
          </w:p>
        </w:tc>
      </w:tr>
      <w:tr>
        <w:trPr>
          <w:cantSplit/>
        </w:trPr>
        <w:tc>
          <w:tcPr>
            <w:tcW w:w="3125" w:type="dxa"/>
          </w:tcPr>
          <w:p>
            <w:pPr>
              <w:pStyle w:val="Tableau"/>
            </w:pPr>
            <w:r>
              <w:rPr>
                <w:rStyle w:val="CodeCar"/>
              </w:rPr>
              <w:t xml:space="preserve">app-donnees.tar.gz</w:t>
            </w:r>
          </w:p>
        </w:tc>
        <w:tc>
          <w:tcPr>
            <w:tcW w:w="6512" w:type="dxa"/>
          </w:tcPr>
          <w:p>
            <w:pPr>
              <w:pStyle w:val="Tableau"/>
            </w:pPr>
            <w:r>
              <w:t xml:space="preserve">Fichiers déposés : logo, pièces jointes, ressources de la bibliothèque</w:t>
            </w:r>
          </w:p>
        </w:tc>
      </w:tr>
      <w:tr>
        <w:trPr>
          <w:cantSplit/>
        </w:trPr>
        <w:tc>
          <w:tcPr>
            <w:tcW w:w="3125" w:type="dxa"/>
          </w:tcPr>
          <w:p>
            <w:pPr>
              <w:pStyle w:val="Tableau"/>
            </w:pPr>
            <w:r>
              <w:rPr>
                <w:rStyle w:val="CodeCar"/>
              </w:rPr>
              <w:t xml:space="preserve">app-keys.tar.gz</w:t>
            </w:r>
          </w:p>
        </w:tc>
        <w:tc>
          <w:tcPr>
            <w:tcW w:w="6512" w:type="dxa"/>
          </w:tcPr>
          <w:p>
            <w:pPr>
              <w:pStyle w:val="Tableau"/>
            </w:pPr>
            <w:r>
              <w:t xml:space="preserve">Clés de protection des données ; sans elles, les sessions et les jetons émis deviennent illisibles</w:t>
            </w:r>
          </w:p>
        </w:tc>
      </w:tr>
      <w:tr>
        <w:trPr>
          <w:cantSplit/>
        </w:trPr>
        <w:tc>
          <w:tcPr>
            <w:tcW w:w="3125" w:type="dxa"/>
          </w:tcPr>
          <w:p>
            <w:pPr>
              <w:pStyle w:val="Tableau"/>
            </w:pPr>
            <w:r>
              <w:rPr>
                <w:rStyle w:val="CodeCar"/>
              </w:rPr>
              <w:t xml:space="preserve">comptes.txt</w:t>
            </w:r>
          </w:p>
        </w:tc>
        <w:tc>
          <w:tcPr>
            <w:tcW w:w="6512" w:type="dxa"/>
          </w:tcPr>
          <w:p>
            <w:pPr>
              <w:pStyle w:val="Tableau"/>
            </w:pPr>
            <w:r>
              <w:t xml:space="preserve">Nombres de lignes de quelques tables (organisations, activités, rapports, participations, pièces jointes, utilisateurs, journal d'audit) et nombres de fichiers ; comparés lors d'une restauration</w:t>
            </w:r>
          </w:p>
        </w:tc>
      </w:tr>
      <w:tr>
        <w:trPr>
          <w:cantSplit/>
        </w:trPr>
        <w:tc>
          <w:tcPr>
            <w:tcW w:w="3125" w:type="dxa"/>
          </w:tcPr>
          <w:p>
            <w:pPr>
              <w:pStyle w:val="Tableau"/>
            </w:pPr>
            <w:r>
              <w:rPr>
                <w:rStyle w:val="CodeCar"/>
              </w:rPr>
              <w:t xml:space="preserve">SHA256SUMS</w:t>
            </w:r>
          </w:p>
        </w:tc>
        <w:tc>
          <w:tcPr>
            <w:tcW w:w="6512" w:type="dxa"/>
          </w:tcPr>
          <w:p>
            <w:pPr>
              <w:pStyle w:val="Tableau"/>
            </w:pPr>
            <w:r>
              <w:t xml:space="preserve">Empreintes des quatre fichiers précédents</w:t>
            </w:r>
          </w:p>
        </w:tc>
      </w:tr>
    </w:tbl>
    <w:p>
      <w:pPr>
        <w:spacing w:before="0" w:after="0"/>
      </w:pPr>
    </w:p>
    <w:p>
      <w:pPr/>
      <w:r>
        <w:t xml:space="preserve">Les fichiers sont lisibles par </w:t>
      </w:r>
      <w:r>
        <w:rPr>
          <w:rStyle w:val="CodeCar"/>
        </w:rPr>
        <w:t xml:space="preserve">root</w:t>
      </w:r>
      <w:r>
        <w:t xml:space="preserve"> seulement (droits 600, dossier 700). Les sauvegardes de plus de</w:t>
      </w:r>
      <w:r>
        <w:t xml:space="preserve"> </w:t>
      </w:r>
      <w:r>
        <w:rPr>
          <w:rStyle w:val="CodeCar"/>
        </w:rPr>
        <w:t xml:space="preserve">SAUVEGARDE_JOURS</w:t>
      </w:r>
      <w:r>
        <w:t xml:space="preserve"> jours (30) sont supprimées à chaque exécution, localement et à distance.</w:t>
      </w:r>
    </w:p>
    <w:tbl>
      <w:tblPr>
        <w:tblW w:w="5000" w:type="pct"/>
        <w:tblCellMar>
          <w:top w:w="100" w:type="dxa"/>
          <w:left w:w="200" w:type="dxa"/>
          <w:bottom w:w="60" w:type="dxa"/>
          <w:right w:w="200" w:type="dxa"/>
        </w:tblCellMar>
      </w:tblPr>
      <w:tr>
        <w:trPr>
          <w:cantSplit/>
        </w:trPr>
        <w:tc>
          <w:tcPr>
            <w:tcW w:w="5000" w:type="pct"/>
            <w:tcBorders>
              <w:left w:val="single" w:color="0D5BD7" w:sz="24"/>
            </w:tcBorders>
            <w:shd w:val="clear" w:color="auto" w:fill="EEF4FF"/>
          </w:tcPr>
          <w:p>
            <w:pPr>
              <w:pStyle w:val="Encadre"/>
            </w:pPr>
            <w:r>
              <w:rPr>
                <w:b/>
                <w:color w:val="0D5BD7"/>
              </w:rPr>
              <w:t xml:space="preserve">Remarque</w:t>
            </w:r>
          </w:p>
          <w:p>
            <w:pPr>
              <w:pStyle w:val="Encadre"/>
            </w:pPr>
            <w:r>
              <w:t xml:space="preserve">Les journaux de l'application et les certificats HTTPS ne sont pas sauvegardés : les journaux ne sont pas des données</w:t>
            </w:r>
            <w:r>
              <w:t xml:space="preserve"> </w:t>
            </w:r>
            <w:r>
              <w:t xml:space="preserve">métier et Caddy redemande les certificats.</w:t>
            </w:r>
          </w:p>
        </w:tc>
      </w:tr>
    </w:tbl>
    <w:p>
      <w:pPr>
        <w:spacing w:before="0" w:after="0"/>
      </w:pPr>
    </w:p>
    <w:p>
      <w:pPr>
        <w:pStyle w:val="Heading2"/>
      </w:pPr>
      <w:bookmarkStart w:name="_s44" w:id="44"/>
      <w:r>
        <w:rPr>
          <w:color w:val="D9480F"/>
        </w:rPr>
        <w:t xml:space="preserve">6.2  </w:t>
      </w:r>
      <w:r>
        <w:t xml:space="preserve">Activer la sauvegarde quotidienne</w:t>
      </w:r>
      <w:bookmarkEnd w:id="44"/>
    </w:p>
    <w:p>
      <w:pPr/>
      <w:r>
        <w:t xml:space="preserve">Le minuteur systemd fourni lance la sauvegarde chaque jour à 2 h 30 UTC (3 h 30 à Niamey), à quelques minutes près ;</w:t>
      </w:r>
      <w:r>
        <w:t xml:space="preserve"> </w:t>
      </w:r>
      <w:r>
        <w:t xml:space="preserve">une exécution manquée (serveur éteint) est rattrapée au démarrage.</w:t>
      </w:r>
    </w:p>
    <w:p>
      <w:pPr>
        <w:pStyle w:val="Code"/>
      </w:pPr>
      <w:r>
        <w:t xml:space="preserve">sudo cp /opt/read/code/deploy/systemd/read-sauvegarde.* /etc/systemd/system/</w:t>
      </w:r>
    </w:p>
    <w:p>
      <w:pPr>
        <w:pStyle w:val="Code"/>
      </w:pPr>
      <w:r>
        <w:t xml:space="preserve">sudo systemctl daemon-reload &amp;&amp; sudo systemctl enable --now read-sauvegarde.timer</w:t>
      </w:r>
    </w:p>
    <w:p>
      <w:pPr>
        <w:pStyle w:val="Code"/>
        <w:spacing w:after="160"/>
      </w:pPr>
      <w:r>
        <w:t xml:space="preserve">systemctl list-timers read-sauvegarde.timer          # prochaine exécution</w:t>
      </w:r>
    </w:p>
    <w:p>
      <w:pPr/>
      <w:r>
        <w:t xml:space="preserve">Lancer une sauvegarde à la main (avant un déploiement, par exemple) :</w:t>
      </w:r>
    </w:p>
    <w:p>
      <w:pPr>
        <w:pStyle w:val="Code"/>
        <w:spacing w:after="160"/>
      </w:pPr>
      <w:r>
        <w:t xml:space="preserve">sudo /opt/read/code/deploy/sauvegarde.sh</w:t>
      </w:r>
    </w:p>
    <w:p>
      <w:pPr/>
      <w:r>
        <w:t xml:space="preserve">Lire le compte rendu de la dernière sauvegarde automatique :</w:t>
      </w:r>
    </w:p>
    <w:p>
      <w:pPr>
        <w:pStyle w:val="Code"/>
        <w:spacing w:after="160"/>
      </w:pPr>
      <w:r>
        <w:t xml:space="preserve">sudo journalctl -u read-sauvegarde.service -n 20</w:t>
      </w:r>
    </w:p>
    <w:p>
      <w:pPr/>
      <w:r>
        <w:t xml:space="preserve">Exemple de compte rendu (valeurs indicatives) :</w:t>
      </w:r>
    </w:p>
    <w:p>
      <w:pPr>
        <w:pStyle w:val="Code"/>
      </w:pPr>
      <w:r>
        <w:t xml:space="preserve">[2026-10-08T02:31:04Z] Sauvegarde dans /var/backups/read/20261008-023104</w:t>
      </w:r>
    </w:p>
    <w:p>
      <w:pPr>
        <w:pStyle w:val="Code"/>
      </w:pPr>
      <w:r>
        <w:t xml:space="preserve">[2026-10-08T02:31:19Z] Taille : 48M ; organisations 24;activites 300;…;fichiers_app-keys 1;</w:t>
      </w:r>
    </w:p>
    <w:p>
      <w:pPr>
        <w:pStyle w:val="Code"/>
      </w:pPr>
      <w:r>
        <w:t xml:space="preserve">[2026-10-08T02:31:41Z] Copie hors serveur : chiffre:/20261008-023104</w:t>
      </w:r>
    </w:p>
    <w:p>
      <w:pPr>
        <w:pStyle w:val="Code"/>
        <w:spacing w:after="160"/>
      </w:pPr>
      <w:r>
        <w:t xml:space="preserve">[2026-10-08T02:31:42Z] Sauvegarde terminée.</w:t>
      </w:r>
    </w:p>
    <w:tbl>
      <w:tblPr>
        <w:tblW w:w="5000" w:type="pct"/>
        <w:tblCellMar>
          <w:top w:w="100" w:type="dxa"/>
          <w:left w:w="200" w:type="dxa"/>
          <w:bottom w:w="60" w:type="dxa"/>
          <w:right w:w="200" w:type="dxa"/>
        </w:tblCellMar>
      </w:tblPr>
      <w:tr>
        <w:trPr>
          <w:cantSplit/>
        </w:trPr>
        <w:tc>
          <w:tcPr>
            <w:tcW w:w="5000" w:type="pct"/>
            <w:tcBorders>
              <w:left w:val="single" w:color="A15C00" w:sz="24"/>
            </w:tcBorders>
            <w:shd w:val="clear" w:color="auto" w:fill="FFF6E5"/>
          </w:tcPr>
          <w:p>
            <w:pPr>
              <w:pStyle w:val="Encadre"/>
            </w:pPr>
            <w:r>
              <w:rPr>
                <w:b/>
                <w:color w:val="A15C00"/>
              </w:rPr>
              <w:t xml:space="preserve">Attention</w:t>
            </w:r>
          </w:p>
          <w:p>
            <w:pPr>
              <w:pStyle w:val="Encadre"/>
            </w:pPr>
            <w:r>
              <w:t xml:space="preserve">Le message </w:t>
            </w:r>
            <w:r>
              <w:rPr>
                <w:rStyle w:val="CodeCar"/>
              </w:rPr>
              <w:t xml:space="preserve">ATTENTION : aucune copie hors serveur (SAUVEGARDE_DISTANTE vide)</w:t>
            </w:r>
            <w:r>
              <w:t xml:space="preserve"> signifie que les sauvegardes restent</w:t>
            </w:r>
            <w:r>
              <w:t xml:space="preserve"> </w:t>
            </w:r>
            <w:r>
              <w:t xml:space="preserve">sur le serveur : elles disparaîtraient avec lui. Configurez la copie hors serveur.</w:t>
            </w:r>
          </w:p>
        </w:tc>
      </w:tr>
    </w:tbl>
    <w:p>
      <w:pPr>
        <w:spacing w:before="0" w:after="0"/>
      </w:pPr>
    </w:p>
    <w:p>
      <w:pPr>
        <w:pStyle w:val="Heading2"/>
      </w:pPr>
      <w:bookmarkStart w:name="_s45" w:id="45"/>
      <w:r>
        <w:rPr>
          <w:color w:val="D9480F"/>
        </w:rPr>
        <w:t xml:space="preserve">6.3  </w:t>
      </w:r>
      <w:r>
        <w:t xml:space="preserve">Copie hors serveur chiffrée</w:t>
      </w:r>
      <w:bookmarkEnd w:id="45"/>
    </w:p>
    <w:p>
      <w:pPr/>
      <w:r>
        <w:t xml:space="preserve">La copie est faite par rclone (dans un conteneur : rien à installer), </w:t>
      </w:r>
      <w:r>
        <w:rPr>
          <w:b/>
        </w:rPr>
        <w:t xml:space="preserve">chiffrée avant l'envoi</w:t>
      </w:r>
      <w:r>
        <w:t xml:space="preserve"> (couche </w:t>
      </w:r>
      <w:r>
        <w:rPr>
          <w:rStyle w:val="CodeCar"/>
        </w:rPr>
        <w:t xml:space="preserve">crypt</w:t>
      </w:r>
      <w:r>
        <w:t xml:space="preserve">) :</w:t>
      </w:r>
      <w:r>
        <w:t xml:space="preserve"> </w:t>
      </w:r>
      <w:r>
        <w:t xml:space="preserve">l'hébergeur du stockage ne peut lire ni les contacts ni le journal.</w:t>
      </w:r>
    </w:p>
    <w:p>
      <w:pPr>
        <w:pStyle w:val="ListParagraph"/>
        <w:numPr>
          <w:ilvl w:val="0"/>
          <w:numId w:val="19"/>
        </w:numPr>
      </w:pPr>
      <w:r>
        <w:t xml:space="preserve">Créez un stockage objet compatible S3 </w:t>
      </w:r>
      <w:r>
        <w:rPr>
          <w:b/>
        </w:rPr>
        <w:t xml:space="preserve">dans une autre région que le serveur</w:t>
      </w:r>
      <w:r>
        <w:t xml:space="preserve">, un conteneur et un utilisateur S3</w:t>
      </w:r>
      <w:r>
        <w:t xml:space="preserve"> </w:t>
      </w:r>
      <w:r>
        <w:t xml:space="preserve">limité à ce conteneur. Notez le point d'accès, la région, la clé d'accès et la clé secrète.</w:t>
      </w:r>
    </w:p>
    <w:p>
      <w:pPr>
        <w:pStyle w:val="ListParagraph"/>
        <w:numPr>
          <w:ilvl w:val="0"/>
          <w:numId w:val="19"/>
        </w:numPr>
      </w:pPr>
      <w:r>
        <w:t xml:space="preserve">Choisissez une phrase de chiffrement longue et </w:t>
      </w:r>
      <w:r>
        <w:rPr>
          <w:b/>
        </w:rPr>
        <w:t xml:space="preserve">conservez-la hors du serveur</w:t>
      </w:r>
      <w:r>
        <w:t xml:space="preserve"> (gestionnaire de mots de passe).</w:t>
      </w:r>
      <w:r>
        <w:t xml:space="preserve"> </w:t>
      </w:r>
      <w:r>
        <w:t xml:space="preserve">Convertissez-la au format attendu par rclone :</w:t>
      </w:r>
    </w:p>
    <w:p>
      <w:pPr>
        <w:pStyle w:val="Code"/>
        <w:spacing w:after="160"/>
      </w:pPr>
      <w:r>
        <w:t xml:space="preserve">docker run --rm rclone/rclone:1.75.1 obscure '&lt;phrase&gt;'</w:t>
      </w:r>
    </w:p>
    <w:p>
      <w:pPr>
        <w:pStyle w:val="ListParagraph"/>
        <w:numPr>
          <w:ilvl w:val="0"/>
          <w:numId w:val="19"/>
        </w:numPr>
      </w:pPr>
      <w:r>
        <w:t xml:space="preserve">Ajoutez à </w:t>
      </w:r>
      <w:r>
        <w:rPr>
          <w:rStyle w:val="CodeCar"/>
        </w:rPr>
        <w:t xml:space="preserve">/opt/read/.env</w:t>
      </w:r>
      <w:r>
        <w:t xml:space="preserve"> (modèle commenté dans </w:t>
      </w:r>
      <w:r>
        <w:rPr>
          <w:rStyle w:val="CodeCar"/>
        </w:rPr>
        <w:t xml:space="preserve">deploy/.env.example</w:t>
      </w:r>
      <w:r>
        <w:t xml:space="preserve">) :</w:t>
      </w:r>
    </w:p>
    <w:p>
      <w:pPr>
        <w:pStyle w:val="Code"/>
      </w:pPr>
      <w:r>
        <w:t xml:space="preserve">RCLONE_CONFIG_DISTANT_TYPE=s3</w:t>
      </w:r>
    </w:p>
    <w:p>
      <w:pPr>
        <w:pStyle w:val="Code"/>
      </w:pPr>
      <w:r>
        <w:t xml:space="preserve">RCLONE_CONFIG_DISTANT_PROVIDER=Other</w:t>
      </w:r>
    </w:p>
    <w:p>
      <w:pPr>
        <w:pStyle w:val="Code"/>
      </w:pPr>
      <w:r>
        <w:t xml:space="preserve">RCLONE_CONFIG_DISTANT_ENDPOINT=https://s3.&lt;region&gt;.example.net</w:t>
      </w:r>
    </w:p>
    <w:p>
      <w:pPr>
        <w:pStyle w:val="Code"/>
      </w:pPr>
      <w:r>
        <w:t xml:space="preserve">RCLONE_CONFIG_DISTANT_REGION=&lt;region&gt;</w:t>
      </w:r>
    </w:p>
    <w:p>
      <w:pPr>
        <w:pStyle w:val="Code"/>
      </w:pPr>
      <w:r>
        <w:t xml:space="preserve">RCLONE_CONFIG_DISTANT_ACCESS_KEY_ID=&lt;clé d'accès&gt;</w:t>
      </w:r>
    </w:p>
    <w:p>
      <w:pPr>
        <w:pStyle w:val="Code"/>
      </w:pPr>
      <w:r>
        <w:t xml:space="preserve">RCLONE_CONFIG_DISTANT_SECRET_ACCESS_KEY=&lt;clé secrète&gt;</w:t>
      </w:r>
    </w:p>
    <w:p>
      <w:pPr>
        <w:pStyle w:val="Code"/>
      </w:pPr>
      <w:r>
        <w:t xml:space="preserve">RCLONE_CONFIG_CHIFFRE_TYPE=crypt</w:t>
      </w:r>
    </w:p>
    <w:p>
      <w:pPr>
        <w:pStyle w:val="Code"/>
      </w:pPr>
      <w:r>
        <w:t xml:space="preserve">RCLONE_CONFIG_CHIFFRE_REMOTE=distant:&lt;conteneur&gt;/read</w:t>
      </w:r>
    </w:p>
    <w:p>
      <w:pPr>
        <w:pStyle w:val="Code"/>
      </w:pPr>
      <w:r>
        <w:t xml:space="preserve">RCLONE_CONFIG_CHIFFRE_PASSWORD=&lt;phrase convertie par « rclone obscure »&gt;</w:t>
      </w:r>
    </w:p>
    <w:p>
      <w:pPr>
        <w:pStyle w:val="Code"/>
        <w:spacing w:after="160"/>
      </w:pPr>
      <w:r>
        <w:t xml:space="preserve">SAUVEGARDE_DISTANTE=chiffre:</w:t>
      </w:r>
    </w:p>
    <w:p>
      <w:pPr>
        <w:pStyle w:val="ListParagraph"/>
        <w:numPr>
          <w:ilvl w:val="0"/>
          <w:numId w:val="19"/>
        </w:numPr>
      </w:pPr>
      <w:r>
        <w:t xml:space="preserve">Lancez une sauvegarde à la main ; le compte rendu doit indiquer </w:t>
      </w:r>
      <w:r>
        <w:rPr>
          <w:rStyle w:val="CodeCar"/>
        </w:rPr>
        <w:t xml:space="preserve">Copie hors serveur</w:t>
      </w:r>
      <w:r>
        <w:t xml:space="preserve">.</w:t>
      </w:r>
    </w:p>
    <w:p>
      <w:pPr>
        <w:pStyle w:val="ListParagraph"/>
        <w:numPr>
          <w:ilvl w:val="0"/>
          <w:numId w:val="19"/>
        </w:numPr>
      </w:pPr>
      <w:r>
        <w:t xml:space="preserve">Listez les copies distantes :</w:t>
      </w:r>
    </w:p>
    <w:p>
      <w:pPr>
        <w:pStyle w:val="Code"/>
        <w:spacing w:after="160"/>
      </w:pPr>
      <w:r>
        <w:t xml:space="preserve">docker run --rm --env-file &lt;(grep ^RCLONE_ /opt/read/.env) rclone/rclone:1.75.1 lsd chiffre:</w:t>
      </w:r>
    </w:p>
    <w:tbl>
      <w:tblPr>
        <w:tblW w:w="5000" w:type="pct"/>
        <w:tblCellMar>
          <w:top w:w="100" w:type="dxa"/>
          <w:left w:w="200" w:type="dxa"/>
          <w:bottom w:w="60" w:type="dxa"/>
          <w:right w:w="200" w:type="dxa"/>
        </w:tblCellMar>
      </w:tblPr>
      <w:tr>
        <w:trPr>
          <w:cantSplit/>
        </w:trPr>
        <w:tc>
          <w:tcPr>
            <w:tcW w:w="5000" w:type="pct"/>
            <w:tcBorders>
              <w:left w:val="single" w:color="C0262D" w:sz="24"/>
            </w:tcBorders>
            <w:shd w:val="clear" w:color="auto" w:fill="FDEEEE"/>
          </w:tcPr>
          <w:p>
            <w:pPr>
              <w:pStyle w:val="Encadre"/>
            </w:pPr>
            <w:r>
              <w:rPr>
                <w:b/>
                <w:color w:val="C0262D"/>
              </w:rPr>
              <w:t xml:space="preserve">Danger</w:t>
            </w:r>
          </w:p>
          <w:p>
            <w:pPr>
              <w:pStyle w:val="Encadre"/>
            </w:pPr>
            <w:r>
              <w:t xml:space="preserve">Sans la phrase de chiffrement, les copies distantes sont illisibles, y compris pour vous. Si le serveur est perdu,</w:t>
            </w:r>
            <w:r>
              <w:t xml:space="preserve"> </w:t>
            </w:r>
            <w:r>
              <w:t xml:space="preserve">c'est la copie conservée hors du serveur qui permet de tout restaurer : vérifiez qu'au moins deux personnes savent</w:t>
            </w:r>
            <w:r>
              <w:t xml:space="preserve"> </w:t>
            </w:r>
            <w:r>
              <w:t xml:space="preserve">où elle se trouve.</w:t>
            </w:r>
          </w:p>
        </w:tc>
      </w:tr>
    </w:tbl>
    <w:p>
      <w:pPr>
        <w:spacing w:before="0" w:after="0"/>
      </w:pPr>
    </w:p>
    <w:p>
      <w:pPr>
        <w:pStyle w:val="Heading2"/>
      </w:pPr>
      <w:bookmarkStart w:name="_s46" w:id="46"/>
      <w:r>
        <w:rPr>
          <w:color w:val="D9480F"/>
        </w:rPr>
        <w:t xml:space="preserve">6.4  </w:t>
      </w:r>
      <w:r>
        <w:t xml:space="preserve">Restaurer</w:t>
      </w:r>
      <w:bookmarkEnd w:id="46"/>
    </w:p>
    <w:p>
      <w:pPr/>
      <w:r>
        <w:t xml:space="preserve">Le script </w:t>
      </w:r>
      <w:r>
        <w:rPr>
          <w:rStyle w:val="CodeCar"/>
        </w:rPr>
        <w:t xml:space="preserve">deploy/restaurer.sh</w:t>
      </w:r>
      <w:r>
        <w:t xml:space="preserve"> vérifie d'abord les empreintes (</w:t>
      </w:r>
      <w:r>
        <w:rPr>
          <w:rStyle w:val="CodeCar"/>
        </w:rPr>
        <w:t xml:space="preserve">SHA256SUMS</w:t>
      </w:r>
      <w:r>
        <w:t xml:space="preserve">) du dossier fourni, puis travaille selon</w:t>
      </w:r>
      <w:r>
        <w:t xml:space="preserve"> </w:t>
      </w:r>
      <w:r>
        <w:t xml:space="preserve">le mode choisi.</w:t>
      </w:r>
    </w:p>
    <w:p>
      <w:pPr>
        <w:pStyle w:val="Heading3"/>
      </w:pPr>
      <w:bookmarkStart w:name="_s93" w:id="47"/>
      <w:r>
        <w:rPr>
          <w:color w:val="556072"/>
        </w:rPr>
        <w:t xml:space="preserve">6.4.1  </w:t>
      </w:r>
      <w:r>
        <w:t xml:space="preserve">Restauration d'essai</w:t>
      </w:r>
      <w:bookmarkEnd w:id="47"/>
    </w:p>
    <w:p>
      <w:pPr/>
      <w:r>
        <w:t xml:space="preserve">Elle restaure la sauvegarde dans des conteneurs </w:t>
      </w:r>
      <w:r>
        <w:rPr>
          <w:b/>
        </w:rPr>
        <w:t xml:space="preserve">jetables</w:t>
      </w:r>
      <w:r>
        <w:t xml:space="preserve"> et compare les nombres de lignes et de fichiers avec ceux</w:t>
      </w:r>
      <w:r>
        <w:t xml:space="preserve"> </w:t>
      </w:r>
      <w:r>
        <w:t xml:space="preserve">relevés à la sauvegarde. Elle n'a </w:t>
      </w:r>
      <w:r>
        <w:rPr>
          <w:b/>
        </w:rPr>
        <w:t xml:space="preserve">aucun effet</w:t>
      </w:r>
      <w:r>
        <w:t xml:space="preserve"> sur la plateforme.</w:t>
      </w:r>
    </w:p>
    <w:p>
      <w:pPr>
        <w:pStyle w:val="Code"/>
        <w:spacing w:after="160"/>
      </w:pPr>
      <w:r>
        <w:t xml:space="preserve">sudo /opt/read/code/deploy/restaurer.sh /var/backups/read/&lt;horodatage&gt; --essai</w:t>
      </w:r>
    </w:p>
    <w:p>
      <w:pPr/>
      <w:r>
        <w:t xml:space="preserve">Elle se termine par </w:t>
      </w:r>
      <w:r>
        <w:rPr>
          <w:rStyle w:val="CodeCar"/>
        </w:rPr>
        <w:t xml:space="preserve">Restauration d'essai réussie, identique à la sauvegarde</w:t>
      </w:r>
      <w:r>
        <w:t xml:space="preserve">, ou par </w:t>
      </w:r>
      <w:r>
        <w:rPr>
          <w:rStyle w:val="CodeCar"/>
        </w:rPr>
        <w:t xml:space="preserve">ÉCHEC</w:t>
      </w:r>
      <w:r>
        <w:t xml:space="preserve"> et les différences.</w:t>
      </w:r>
    </w:p>
    <w:tbl>
      <w:tblPr>
        <w:tblW w:w="5000" w:type="pct"/>
        <w:tblCellMar>
          <w:top w:w="100" w:type="dxa"/>
          <w:left w:w="200" w:type="dxa"/>
          <w:bottom w:w="60" w:type="dxa"/>
          <w:right w:w="200" w:type="dxa"/>
        </w:tblCellMar>
      </w:tblPr>
      <w:tr>
        <w:trPr>
          <w:cantSplit/>
        </w:trPr>
        <w:tc>
          <w:tcPr>
            <w:tcW w:w="5000" w:type="pct"/>
            <w:tcBorders>
              <w:left w:val="single" w:color="7A3FD1" w:sz="24"/>
            </w:tcBorders>
            <w:shd w:val="clear" w:color="auto" w:fill="F4EFFC"/>
          </w:tcPr>
          <w:p>
            <w:pPr>
              <w:pStyle w:val="Encadre"/>
            </w:pPr>
            <w:r>
              <w:rPr>
                <w:b/>
                <w:color w:val="7A3FD1"/>
              </w:rPr>
              <w:t xml:space="preserve">Important</w:t>
            </w:r>
          </w:p>
          <w:p>
            <w:pPr>
              <w:pStyle w:val="Encadre"/>
            </w:pPr>
            <w:r>
              <w:t xml:space="preserve">Faites une restauration d'essai au moins une fois par mois et après chaque changement du schéma de la base. Une</w:t>
            </w:r>
            <w:r>
              <w:t xml:space="preserve"> </w:t>
            </w:r>
            <w:r>
              <w:t xml:space="preserve">sauvegarde jamais relue n'est pas une sauvegarde.</w:t>
            </w:r>
          </w:p>
        </w:tc>
      </w:tr>
    </w:tbl>
    <w:p>
      <w:pPr>
        <w:spacing w:before="0" w:after="0"/>
      </w:pPr>
    </w:p>
    <w:p>
      <w:pPr>
        <w:pStyle w:val="Heading3"/>
      </w:pPr>
      <w:bookmarkStart w:name="_s94" w:id="48"/>
      <w:r>
        <w:rPr>
          <w:color w:val="556072"/>
        </w:rPr>
        <w:t xml:space="preserve">6.4.2  </w:t>
      </w:r>
      <w:r>
        <w:t xml:space="preserve">Restauration réelle</w:t>
      </w:r>
      <w:bookmarkEnd w:id="48"/>
    </w:p>
    <w:p>
      <w:pPr/>
      <w:r>
        <w:t xml:space="preserve">Elle </w:t>
      </w:r>
      <w:r>
        <w:rPr>
          <w:b/>
        </w:rPr>
        <w:t xml:space="preserve">remplace</w:t>
      </w:r>
      <w:r>
        <w:t xml:space="preserve"> la base et les fichiers déposés de la plateforme par ceux de la sauvegarde.</w:t>
      </w:r>
    </w:p>
    <w:p>
      <w:pPr>
        <w:pStyle w:val="ListParagraph"/>
        <w:numPr>
          <w:ilvl w:val="0"/>
          <w:numId w:val="20"/>
        </w:numPr>
      </w:pPr>
      <w:r>
        <w:t xml:space="preserve">Prévenez les utilisateurs : tout ce qui a été saisi après la sauvegarde sera perdu.</w:t>
      </w:r>
    </w:p>
    <w:p>
      <w:pPr>
        <w:pStyle w:val="ListParagraph"/>
        <w:numPr>
          <w:ilvl w:val="0"/>
          <w:numId w:val="20"/>
        </w:numPr>
      </w:pPr>
      <w:r>
        <w:t xml:space="preserve">Lancez :</w:t>
      </w:r>
    </w:p>
    <w:p>
      <w:pPr>
        <w:pStyle w:val="Code"/>
        <w:spacing w:after="160"/>
      </w:pPr>
      <w:r>
        <w:t xml:space="preserve">sudo /opt/read/code/deploy/restaurer.sh /var/backups/read/&lt;horodatage&gt; --confirmer</w:t>
      </w:r>
    </w:p>
    <w:p>
      <w:pPr>
        <w:ind w:left="360"/>
      </w:pPr>
      <w:r>
        <w:t xml:space="preserve">Le script arrête </w:t>
      </w:r>
      <w:r>
        <w:rPr>
          <w:rStyle w:val="CodeCar"/>
        </w:rPr>
        <w:t xml:space="preserve">app</w:t>
      </w:r>
      <w:r>
        <w:t xml:space="preserve"> et </w:t>
      </w:r>
      <w:r>
        <w:rPr>
          <w:rStyle w:val="CodeCar"/>
        </w:rPr>
        <w:t xml:space="preserve">caddy</w:t>
      </w:r>
      <w:r>
        <w:t xml:space="preserve">, recrée la base, y restaure </w:t>
      </w:r>
      <w:r>
        <w:rPr>
          <w:rStyle w:val="CodeCar"/>
        </w:rPr>
        <w:t xml:space="preserve">base.dump</w:t>
      </w:r>
      <w:r>
        <w:t xml:space="preserve">, remplace le contenu des volumes</w:t>
      </w:r>
      <w:r>
        <w:t xml:space="preserve"> </w:t>
      </w:r>
      <w:r>
        <w:rPr>
          <w:rStyle w:val="CodeCar"/>
        </w:rPr>
        <w:t xml:space="preserve">app-donnees</w:t>
      </w:r>
      <w:r>
        <w:t xml:space="preserve"> et </w:t>
      </w:r>
      <w:r>
        <w:rPr>
          <w:rStyle w:val="CodeCar"/>
        </w:rPr>
        <w:t xml:space="preserve">app-keys</w:t>
      </w:r>
      <w:r>
        <w:t xml:space="preserve">, puis relance tout par </w:t>
      </w:r>
      <w:r>
        <w:rPr>
          <w:rStyle w:val="CodeCar"/>
        </w:rPr>
        <w:t xml:space="preserve">docker compose up -d</w:t>
      </w:r>
      <w:r>
        <w:t xml:space="preserve">. Le service </w:t>
      </w:r>
      <w:r>
        <w:rPr>
          <w:rStyle w:val="CodeCar"/>
        </w:rPr>
        <w:t xml:space="preserve">migrations</w:t>
      </w:r>
      <w:r>
        <w:t xml:space="preserve"> redonne au rôle</w:t>
      </w:r>
      <w:r>
        <w:t xml:space="preserve"> </w:t>
      </w:r>
      <w:r>
        <w:t xml:space="preserve">de l'application ses droits et applique les migrations plus récentes que la sauvegarde.</w:t>
      </w:r>
    </w:p>
    <w:p>
      <w:pPr>
        <w:pStyle w:val="ListParagraph"/>
        <w:numPr>
          <w:ilvl w:val="0"/>
          <w:numId w:val="20"/>
        </w:numPr>
      </w:pPr>
      <w:r>
        <w:t xml:space="preserve">Connectez-vous et contrôlez quelques fiches récentes.</w:t>
      </w:r>
    </w:p>
    <w:p>
      <w:pPr>
        <w:pStyle w:val="Heading3"/>
      </w:pPr>
      <w:bookmarkStart w:name="_s95" w:id="49"/>
      <w:r>
        <w:rPr>
          <w:color w:val="556072"/>
        </w:rPr>
        <w:t xml:space="preserve">6.4.3  </w:t>
      </w:r>
      <w:r>
        <w:t xml:space="preserve">Serveur perdu : rapatrier une copie distante</w:t>
      </w:r>
      <w:bookmarkEnd w:id="49"/>
    </w:p>
    <w:p>
      <w:pPr/>
      <w:r>
        <w:t xml:space="preserve">Sur un nouveau serveur installé comme au chapitre </w:t>
      </w:r>
      <w:hyperlink w:history="true" w:anchor="_s19">
        <w:r>
          <w:rPr>
            <w:rStyle w:val="Hyperlink"/>
          </w:rPr>
          <w:t xml:space="preserve">Installation</w:t>
        </w:r>
      </w:hyperlink>
      <w:r>
        <w:t xml:space="preserve">, avec le </w:t>
      </w:r>
      <w:r>
        <w:rPr>
          <w:b/>
        </w:rPr>
        <w:t xml:space="preserve">même</w:t>
      </w:r>
      <w:r>
        <w:t xml:space="preserve"> fichier </w:t>
      </w:r>
      <w:r>
        <w:rPr>
          <w:rStyle w:val="CodeCar"/>
        </w:rPr>
        <w:t xml:space="preserve">.env</w:t>
      </w:r>
      <w:r>
        <w:t xml:space="preserve"> </w:t>
      </w:r>
      <w:r>
        <w:t xml:space="preserve">(mêmes variables </w:t>
      </w:r>
      <w:r>
        <w:rPr>
          <w:rStyle w:val="CodeCar"/>
        </w:rPr>
        <w:t xml:space="preserve">RCLONE_CONFIG_*</w:t>
      </w:r>
      <w:r>
        <w:t xml:space="preserve"> et même phrase de chiffrement) :</w:t>
      </w:r>
    </w:p>
    <w:p>
      <w:pPr>
        <w:pStyle w:val="ListParagraph"/>
        <w:numPr>
          <w:ilvl w:val="0"/>
          <w:numId w:val="21"/>
        </w:numPr>
      </w:pPr>
      <w:r>
        <w:t xml:space="preserve">Déployez la plateforme (elle démarre sur une base vide).</w:t>
      </w:r>
    </w:p>
    <w:p>
      <w:pPr>
        <w:pStyle w:val="ListParagraph"/>
        <w:numPr>
          <w:ilvl w:val="0"/>
          <w:numId w:val="21"/>
        </w:numPr>
      </w:pPr>
      <w:r>
        <w:t xml:space="preserve">Listez les copies (</w:t>
      </w:r>
      <w:r>
        <w:rPr>
          <w:rStyle w:val="CodeCar"/>
        </w:rPr>
        <w:t xml:space="preserve">lsd chiffre:</w:t>
      </w:r>
      <w:r>
        <w:t xml:space="preserve">) et rapatriez la plus récente :</w:t>
      </w:r>
    </w:p>
    <w:p>
      <w:pPr>
        <w:pStyle w:val="Code"/>
      </w:pPr>
      <w:r>
        <w:t xml:space="preserve">docker run --rm --env-file &lt;(grep ^RCLONE_ /opt/read/.env) -v /var/backups/read:/r rclone/rclone:1.75.1 \</w:t>
      </w:r>
    </w:p>
    <w:p>
      <w:pPr>
        <w:pStyle w:val="Code"/>
        <w:spacing w:after="160"/>
      </w:pPr>
      <w:r>
        <w:t xml:space="preserve">  copy chiffre:&lt;horodatage&gt; /r/&lt;horodatage&gt;</w:t>
      </w:r>
    </w:p>
    <w:p>
      <w:pPr>
        <w:pStyle w:val="ListParagraph"/>
        <w:numPr>
          <w:ilvl w:val="0"/>
          <w:numId w:val="21"/>
        </w:numPr>
      </w:pPr>
      <w:r>
        <w:t xml:space="preserve">Faites une restauration d'essai, puis la restauration réelle.</w:t>
      </w:r>
    </w:p>
    <w:p>
      <w:pPr>
        <w:pStyle w:val="ListParagraph"/>
        <w:numPr>
          <w:ilvl w:val="0"/>
          <w:numId w:val="21"/>
        </w:numPr>
      </w:pPr>
      <w:r>
        <w:t xml:space="preserve">Pointez le nom de domaine vers le nouveau serveur.</w:t>
      </w:r>
    </w:p>
    <w:p>
      <w:pPr>
        <w:pStyle w:val="Surtitre"/>
      </w:pPr>
      <w:r>
        <w:t xml:space="preserve">CHAPITRE 7</w:t>
      </w:r>
    </w:p>
    <w:p>
      <w:pPr>
        <w:pStyle w:val="Heading1"/>
      </w:pPr>
      <w:bookmarkStart w:name="_s47" w:id="50"/>
      <w:r>
        <w:t xml:space="preserve">Sécurité</w:t>
      </w:r>
      <w:bookmarkEnd w:id="50"/>
    </w:p>
    <w:p>
      <w:pPr>
        <w:pStyle w:val="Chapeau"/>
      </w:pPr>
      <w:r>
        <w:t xml:space="preserve">Les mesures de sécurité en place dans la plateforme et sur le serveur, et ce qui reste de la responsabilité de l'exploitant.</w:t>
      </w:r>
    </w:p>
    <w:p>
      <w:pPr>
        <w:pStyle w:val="Note"/>
      </w:pPr>
      <w:r>
        <w:t xml:space="preserve">Concerne : </w:t>
      </w:r>
      <w:r>
        <w:rPr>
          <w:b/>
        </w:rPr>
        <w:t xml:space="preserve">Équipe technique · Hébergeur</w:t>
      </w:r>
    </w:p>
    <w:p>
      <w:pPr>
        <w:pStyle w:val="Heading2"/>
      </w:pPr>
      <w:bookmarkStart w:name="_s48" w:id="51"/>
      <w:r>
        <w:rPr>
          <w:color w:val="D9480F"/>
        </w:rPr>
        <w:t xml:space="preserve">7.1  </w:t>
      </w:r>
      <w:r>
        <w:t xml:space="preserve">Transport et en-têtes</w:t>
      </w:r>
      <w:bookmarkEnd w:id="51"/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HTTPS obligatoire</w:t>
      </w:r>
      <w:r>
        <w:t xml:space="preserve"> : Caddy redirige HTTP vers HTTPS et renouvelle seul le certificat (Let's Encrypt). HTTP/2 et</w:t>
      </w:r>
      <w:r>
        <w:t xml:space="preserve"> </w:t>
      </w:r>
      <w:r>
        <w:t xml:space="preserve">HTTP/3 sont servis.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En-têtes ajoutés par Caddy</w:t>
      </w:r>
      <w:r>
        <w:t xml:space="preserve"> : </w:t>
      </w:r>
      <w:r>
        <w:rPr>
          <w:rStyle w:val="CodeCar"/>
        </w:rPr>
        <w:t xml:space="preserve">Strict-Transport-Security</w:t>
      </w:r>
      <w:r>
        <w:t xml:space="preserve"> (un an, sous-domaines compris), </w:t>
      </w:r>
      <w:r>
        <w:rPr>
          <w:rStyle w:val="CodeCar"/>
        </w:rPr>
        <w:t xml:space="preserve">X-Content-Type-Options: nosniff</w:t>
      </w:r>
      <w:r>
        <w:t xml:space="preserve">, </w:t>
      </w:r>
      <w:r>
        <w:rPr>
          <w:rStyle w:val="CodeCar"/>
        </w:rPr>
        <w:t xml:space="preserve">X-Frame-Options: DENY</w:t>
      </w:r>
      <w:r>
        <w:t xml:space="preserve">, </w:t>
      </w:r>
      <w:r>
        <w:rPr>
          <w:rStyle w:val="CodeCar"/>
        </w:rPr>
        <w:t xml:space="preserve">Referrer-Policy: strict-origin-when-cross-origin</w:t>
      </w:r>
      <w:r>
        <w:t xml:space="preserve">, </w:t>
      </w:r>
      <w:r>
        <w:rPr>
          <w:rStyle w:val="CodeCar"/>
        </w:rPr>
        <w:t xml:space="preserve">Permissions-Policy</w:t>
      </w:r>
      <w:r>
        <w:t xml:space="preserve"> (caméra,</w:t>
      </w:r>
      <w:r>
        <w:t xml:space="preserve"> </w:t>
      </w:r>
      <w:r>
        <w:t xml:space="preserve">micro et géolocalisation refusés) ; l'en-tête </w:t>
      </w:r>
      <w:r>
        <w:rPr>
          <w:rStyle w:val="CodeCar"/>
        </w:rPr>
        <w:t xml:space="preserve">Server</w:t>
      </w:r>
      <w:r>
        <w:t xml:space="preserve"> est retiré.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Politique de sécurité du contenu (CSP)</w:t>
      </w:r>
      <w:r>
        <w:t xml:space="preserve">, envoyée par l'application : scripts du site seulement, aucun script en</w:t>
      </w:r>
      <w:r>
        <w:t xml:space="preserve"> </w:t>
      </w:r>
      <w:r>
        <w:t xml:space="preserve">ligne, aucune ressource ni connexion vers un autre site.</w:t>
      </w:r>
    </w:p>
    <w:p>
      <w:pPr>
        <w:pStyle w:val="Code"/>
      </w:pPr>
      <w:r>
        <w:t xml:space="preserve">default-src 'self'; script-src 'self'; style-src 'self' 'unsafe-inline'; img-src 'self' data: blob:;</w:t>
      </w:r>
    </w:p>
    <w:p>
      <w:pPr>
        <w:pStyle w:val="Code"/>
      </w:pPr>
      <w:r>
        <w:t xml:space="preserve">font-src 'self' data:; connect-src 'self'; object-src 'none'; base-uri 'self'; frame-ancestors 'self';</w:t>
      </w:r>
    </w:p>
    <w:p>
      <w:pPr>
        <w:pStyle w:val="Code"/>
        <w:spacing w:after="160"/>
      </w:pPr>
      <w:r>
        <w:t xml:space="preserve">form-action 'self'</w:t>
      </w:r>
    </w:p>
    <w:p>
      <w:pPr>
        <w:ind w:left="360"/>
      </w:pPr>
      <w:r>
        <w:t xml:space="preserve">Le module hors ligne (</w:t>
      </w:r>
      <w:r>
        <w:rPr>
          <w:rStyle w:val="CodeCar"/>
        </w:rPr>
        <w:t xml:space="preserve">/terrain/</w:t>
      </w:r>
      <w:r>
        <w:t xml:space="preserve">) a sa propre politique, qui ajoute </w:t>
      </w:r>
      <w:r>
        <w:rPr>
          <w:rStyle w:val="CodeCar"/>
        </w:rPr>
        <w:t xml:space="preserve">'wasm-unsafe-eval'</w:t>
      </w:r>
      <w:r>
        <w:t xml:space="preserve"> (exigé par WebAssembly).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État de santé</w:t>
      </w:r>
      <w:r>
        <w:t xml:space="preserve"> : </w:t>
      </w:r>
      <w:r>
        <w:rPr>
          <w:rStyle w:val="CodeCar"/>
        </w:rPr>
        <w:t xml:space="preserve">/health</w:t>
      </w:r>
      <w:r>
        <w:t xml:space="preserve"> (qui interroge la base) est réservé au contrôle interne de Docker ; Caddy répond 404 à</w:t>
      </w:r>
      <w:r>
        <w:t xml:space="preserve"> </w:t>
      </w:r>
      <w:r>
        <w:t xml:space="preserve">l'extérieur.</w:t>
      </w:r>
    </w:p>
    <w:p>
      <w:pPr>
        <w:pStyle w:val="Heading2"/>
      </w:pPr>
      <w:bookmarkStart w:name="_s49" w:id="52"/>
      <w:r>
        <w:rPr>
          <w:color w:val="D9480F"/>
        </w:rPr>
        <w:t xml:space="preserve">7.2  </w:t>
      </w:r>
      <w:r>
        <w:t xml:space="preserve">Comptes et sessions</w:t>
      </w:r>
      <w:bookmarkEnd w:id="52"/>
    </w:p>
    <w:p>
      <w:pPr>
        <w:pStyle w:val="ListParagraph"/>
        <w:numPr>
          <w:ilvl w:val="0"/>
          <w:numId w:val="1"/>
        </w:numPr>
      </w:pPr>
      <w:r>
        <w:t xml:space="preserve">Mots de passe hachés (ASP.NET Identity), de 8 à 128 caractères dont un chiffre.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Verrouillage</w:t>
      </w:r>
      <w:r>
        <w:t xml:space="preserve"> : après 5 échecs, le compte est bloqué 15 minutes.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Limitation par adresse IP</w:t>
      </w:r>
      <w:r>
        <w:t xml:space="preserve"> : 10 tentatives de connexion par minute, 5 demandes d'inscription et 5 demandes « mot</w:t>
      </w:r>
      <w:r>
        <w:t xml:space="preserve"> </w:t>
      </w:r>
      <w:r>
        <w:t xml:space="preserve">de passe oublié » par heure, 300 appels à l'API par minute (réglables, voir </w:t>
      </w:r>
      <w:hyperlink w:history="true" w:anchor="_s26">
        <w:r>
          <w:rPr>
            <w:rStyle w:val="Hyperlink"/>
          </w:rPr>
          <w:t xml:space="preserve">Configuration</w:t>
        </w:r>
      </w:hyperlink>
      <w:r>
        <w:t xml:space="preserve">).</w:t>
      </w:r>
      <w:r>
        <w:t xml:space="preserve"> </w:t>
      </w:r>
      <w:r>
        <w:t xml:space="preserve">Au-delà : réponse 429.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Session</w:t>
      </w:r>
      <w:r>
        <w:t xml:space="preserve"> : cookie </w:t>
      </w:r>
      <w:r>
        <w:rPr>
          <w:rStyle w:val="CodeCar"/>
        </w:rPr>
        <w:t xml:space="preserve">read.session</w:t>
      </w:r>
      <w:r>
        <w:t xml:space="preserve"> </w:t>
      </w:r>
      <w:r>
        <w:rPr>
          <w:rStyle w:val="CodeCar"/>
        </w:rPr>
        <w:t xml:space="preserve">HttpOnly</w:t>
      </w:r>
      <w:r>
        <w:t xml:space="preserve">, </w:t>
      </w:r>
      <w:r>
        <w:rPr>
          <w:rStyle w:val="CodeCar"/>
        </w:rPr>
        <w:t xml:space="preserve">Secure</w:t>
      </w:r>
      <w:r>
        <w:t xml:space="preserve"> en HTTPS, </w:t>
      </w:r>
      <w:r>
        <w:rPr>
          <w:rStyle w:val="CodeCar"/>
        </w:rPr>
        <w:t xml:space="preserve">SameSite=Lax</w:t>
      </w:r>
      <w:r>
        <w:t xml:space="preserve">, fermée après 30 minutes</w:t>
      </w:r>
      <w:r>
        <w:t xml:space="preserve"> </w:t>
      </w:r>
      <w:r>
        <w:t xml:space="preserve">d'inactivité. Un compte désactivé ou dont le rôle change perd son accès dans la minute.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Lien « mot de passe oublié »</w:t>
      </w:r>
      <w:r>
        <w:t xml:space="preserve"> : valable une heure, utilisable une fois ; le message affiché est le même que le</w:t>
      </w:r>
      <w:r>
        <w:t xml:space="preserve"> </w:t>
      </w:r>
      <w:r>
        <w:t xml:space="preserve">compte existe ou non.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Mot de passe temporaire</w:t>
      </w:r>
      <w:r>
        <w:t xml:space="preserve"> (compte créé par l'administrateur, premier administrateur) : à changer avant toute</w:t>
      </w:r>
      <w:r>
        <w:t xml:space="preserve"> </w:t>
      </w:r>
      <w:r>
        <w:t xml:space="preserve">autre action.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API</w:t>
      </w:r>
      <w:r>
        <w:t xml:space="preserve"> : jetons seulement (jamais le cookie du site), compte revérifié à chaque appel (chapitre</w:t>
      </w:r>
      <w:r>
        <w:t xml:space="preserve"> </w:t>
      </w:r>
      <w:hyperlink w:history="true" w:anchor="_s73">
        <w:r>
          <w:rPr>
            <w:rStyle w:val="Hyperlink"/>
          </w:rPr>
          <w:t xml:space="preserve">API et module hors ligne</w:t>
        </w:r>
      </w:hyperlink>
      <w:r>
        <w:t xml:space="preserve">).</w:t>
      </w:r>
    </w:p>
    <w:p>
      <w:pPr>
        <w:pStyle w:val="Heading2"/>
      </w:pPr>
      <w:bookmarkStart w:name="_s50" w:id="53"/>
      <w:r>
        <w:rPr>
          <w:color w:val="D9480F"/>
        </w:rPr>
        <w:t xml:space="preserve">7.3  </w:t>
      </w:r>
      <w:r>
        <w:t xml:space="preserve">Autorisations et données</w:t>
      </w:r>
      <w:bookmarkEnd w:id="53"/>
    </w:p>
    <w:p>
      <w:pPr>
        <w:pStyle w:val="ListParagraph"/>
        <w:numPr>
          <w:ilvl w:val="0"/>
          <w:numId w:val="1"/>
        </w:numPr>
      </w:pPr>
      <w:r>
        <w:t xml:space="preserve">Les autorisations (rôle et périmètre géographique) sont appliquées dans les services de l'application, jamais dans</w:t>
      </w:r>
      <w:r>
        <w:t xml:space="preserve"> </w:t>
      </w:r>
      <w:r>
        <w:t xml:space="preserve">les seules pages : un écran caché n'est jamais la seule protection. Une donnée hors du périmètre du compte répond 404,</w:t>
      </w:r>
      <w:r>
        <w:t xml:space="preserve"> </w:t>
      </w:r>
      <w:r>
        <w:t xml:space="preserve">une action non autorisée 403. Une matrice d'accès automatisée vérifie chaque route pour chaque rôle.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Base</w:t>
      </w:r>
      <w:r>
        <w:t xml:space="preserve"> : l'application se connecte avec un rôle restreint (</w:t>
      </w:r>
      <w:r>
        <w:rPr>
          <w:rStyle w:val="CodeCar"/>
        </w:rPr>
        <w:t xml:space="preserve">POSTGRES_APP_USER</w:t>
      </w:r>
      <w:r>
        <w:t xml:space="preserve">) qui n'est pas propriétaire des</w:t>
      </w:r>
      <w:r>
        <w:t xml:space="preserve"> </w:t>
      </w:r>
      <w:r>
        <w:t xml:space="preserve">tables et ne peut ni modifier ni effacer le journal d'audit. Le compte propriétaire ne sert qu'aux migrations et aux</w:t>
      </w:r>
      <w:r>
        <w:t xml:space="preserve"> </w:t>
      </w:r>
      <w:r>
        <w:t xml:space="preserve">scripts de sauvegarde. Le port de la base n'est pas publié.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Journal d'audit</w:t>
      </w:r>
      <w:r>
        <w:t xml:space="preserve"> : chaque écriture, connexion, échec de connexion, export et téléchargement de fichier restreint y</w:t>
      </w:r>
      <w:r>
        <w:t xml:space="preserve"> </w:t>
      </w:r>
      <w:r>
        <w:t xml:space="preserve">est inscrit, avec l'adresse IP réelle du client.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Protection des personnes</w:t>
      </w:r>
      <w:r>
        <w:t xml:space="preserve"> : aucune donnée nominative de bénéficiaire (effectifs agrégés) ; photos d'enfants sous</w:t>
      </w:r>
      <w:r>
        <w:t xml:space="preserve"> </w:t>
      </w:r>
      <w:r>
        <w:t xml:space="preserve">consentement, sans métadonnées de localisation, jamais publiques ; listes de présence réservées à l'équipe projet et</w:t>
      </w:r>
      <w:r>
        <w:t xml:space="preserve"> </w:t>
      </w:r>
      <w:r>
        <w:t xml:space="preserve">supprimées à échéance ; petits effectifs masqués sur le portail public.</w:t>
      </w:r>
    </w:p>
    <w:p>
      <w:pPr>
        <w:pStyle w:val="Heading2"/>
      </w:pPr>
      <w:bookmarkStart w:name="_s51" w:id="54"/>
      <w:r>
        <w:rPr>
          <w:color w:val="D9480F"/>
        </w:rPr>
        <w:t xml:space="preserve">7.4  </w:t>
      </w:r>
      <w:r>
        <w:t xml:space="preserve">Serveur</w:t>
      </w:r>
      <w:bookmarkEnd w:id="54"/>
    </w:p>
    <w:p>
      <w:pPr/>
      <w:r>
        <w:t xml:space="preserve">Mesures prises à l'</w:t>
      </w:r>
      <w:hyperlink w:history="true" w:anchor="_s19">
        <w:r>
          <w:rPr>
            <w:rStyle w:val="Hyperlink"/>
          </w:rPr>
          <w:t xml:space="preserve">installation</w:t>
        </w:r>
      </w:hyperlink>
      <w:r>
        <w:t xml:space="preserve"> :</w:t>
      </w:r>
    </w:p>
    <w:p>
      <w:pPr>
        <w:pStyle w:val="ListParagraph"/>
        <w:numPr>
          <w:ilvl w:val="0"/>
          <w:numId w:val="1"/>
        </w:numPr>
      </w:pPr>
      <w:r>
        <w:t xml:space="preserve">SSH par clé seulement, connexion </w:t>
      </w:r>
      <w:r>
        <w:rPr>
          <w:rStyle w:val="CodeCar"/>
        </w:rPr>
        <w:t xml:space="preserve">root</w:t>
      </w:r>
      <w:r>
        <w:t xml:space="preserve"> interdite ;</w:t>
      </w:r>
    </w:p>
    <w:p>
      <w:pPr>
        <w:pStyle w:val="ListParagraph"/>
        <w:numPr>
          <w:ilvl w:val="0"/>
          <w:numId w:val="1"/>
        </w:numPr>
      </w:pPr>
      <w:r>
        <w:t xml:space="preserve">pare-feu </w:t>
      </w:r>
      <w:r>
        <w:rPr>
          <w:rStyle w:val="CodeCar"/>
        </w:rPr>
        <w:t xml:space="preserve">ufw</w:t>
      </w:r>
      <w:r>
        <w:t xml:space="preserve"> : 22, 80 et 443 seulement ;</w:t>
      </w:r>
    </w:p>
    <w:p>
      <w:pPr>
        <w:pStyle w:val="ListParagraph"/>
        <w:numPr>
          <w:ilvl w:val="0"/>
          <w:numId w:val="1"/>
        </w:numPr>
      </w:pPr>
      <w:r>
        <w:t xml:space="preserve">mises à jour de sécurité automatiques du système ;</w:t>
      </w:r>
    </w:p>
    <w:p>
      <w:pPr>
        <w:pStyle w:val="ListParagraph"/>
        <w:numPr>
          <w:ilvl w:val="0"/>
          <w:numId w:val="1"/>
        </w:numPr>
      </w:pPr>
      <w:r>
        <w:t xml:space="preserve">secrets dans </w:t>
      </w:r>
      <w:r>
        <w:rPr>
          <w:rStyle w:val="CodeCar"/>
        </w:rPr>
        <w:t xml:space="preserve">/opt/read/.env</w:t>
      </w:r>
      <w:r>
        <w:t xml:space="preserve"> (droits 600), jamais dans le dépôt de code ni dans l'image ;</w:t>
      </w:r>
    </w:p>
    <w:p>
      <w:pPr>
        <w:pStyle w:val="ListParagraph"/>
        <w:numPr>
          <w:ilvl w:val="0"/>
          <w:numId w:val="1"/>
        </w:numPr>
      </w:pPr>
      <w:r>
        <w:t xml:space="preserve">conteneur de l'application exécuté sous un utilisateur non </w:t>
      </w:r>
      <w:r>
        <w:rPr>
          <w:rStyle w:val="CodeCar"/>
        </w:rPr>
        <w:t xml:space="preserve">root</w:t>
      </w:r>
      <w:r>
        <w:t xml:space="preserve"> ;</w:t>
      </w:r>
    </w:p>
    <w:p>
      <w:pPr>
        <w:pStyle w:val="ListParagraph"/>
        <w:numPr>
          <w:ilvl w:val="0"/>
          <w:numId w:val="1"/>
        </w:numPr>
      </w:pPr>
      <w:r>
        <w:t xml:space="preserve">journaux Docker bornés (5 fichiers de 10 Mo par conteneur).</w:t>
      </w:r>
    </w:p>
    <w:p>
      <w:pPr>
        <w:pStyle w:val="Heading2"/>
      </w:pPr>
      <w:bookmarkStart w:name="_s52" w:id="55"/>
      <w:r>
        <w:rPr>
          <w:color w:val="D9480F"/>
        </w:rPr>
        <w:t xml:space="preserve">7.5  </w:t>
      </w:r>
      <w:r>
        <w:t xml:space="preserve">Responsabilités de l'exploitant</w:t>
      </w:r>
      <w:bookmarkEnd w:id="55"/>
    </w:p>
    <w:tbl>
      <w:tblPr>
        <w:tblW w:w="5000" w:type="pct"/>
        <w:tblBorders>
          <w:top w:val="single" w:color="DFE4EC" w:sz="4"/>
          <w:bottom w:val="single" w:color="DFE4EC" w:sz="4"/>
          <w:left w:val="nil"/>
          <w:right w:val="nil"/>
          <w:insideH w:val="single" w:color="DFE4EC" w:sz="4"/>
          <w:insideV w:val="nil"/>
        </w:tblBorders>
        <w:tblLayout w:type="fixed"/>
        <w:tblCellMar>
          <w:top w:w="50" w:type="dxa"/>
          <w:left w:w="100" w:type="dxa"/>
          <w:bottom w:w="50" w:type="dxa"/>
          <w:right w:w="100" w:type="dxa"/>
        </w:tblCellMar>
      </w:tblPr>
      <w:tblGrid>
        <w:gridCol w:w="2127"/>
        <w:gridCol w:w="7510"/>
      </w:tblGrid>
      <w:tr>
        <w:trPr>
          <w:cantSplit/>
          <w:tblHeader/>
        </w:trPr>
        <w:tc>
          <w:tcPr>
            <w:tcW w:w="2127" w:type="dxa"/>
            <w:shd w:val="clear" w:color="auto" w:fill="F4F6FA"/>
          </w:tcPr>
          <w:p>
            <w:pPr>
              <w:pStyle w:val="Tableau"/>
            </w:pPr>
            <w:r>
              <w:rPr>
                <w:b/>
              </w:rPr>
              <w:t xml:space="preserve">Fréquence</w:t>
            </w:r>
          </w:p>
        </w:tc>
        <w:tc>
          <w:tcPr>
            <w:tcW w:w="7510" w:type="dxa"/>
            <w:shd w:val="clear" w:color="auto" w:fill="F4F6FA"/>
          </w:tcPr>
          <w:p>
            <w:pPr>
              <w:pStyle w:val="Tableau"/>
            </w:pPr>
            <w:r>
              <w:rPr>
                <w:b/>
              </w:rPr>
              <w:t xml:space="preserve">Action</w:t>
            </w:r>
          </w:p>
        </w:tc>
      </w:tr>
      <w:tr>
        <w:trPr>
          <w:cantSplit/>
        </w:trPr>
        <w:tc>
          <w:tcPr>
            <w:tcW w:w="2127" w:type="dxa"/>
          </w:tcPr>
          <w:p>
            <w:pPr>
              <w:pStyle w:val="Tableau"/>
            </w:pPr>
            <w:r>
              <w:t xml:space="preserve">Chaque jour</w:t>
            </w:r>
          </w:p>
        </w:tc>
        <w:tc>
          <w:tcPr>
            <w:tcW w:w="7510" w:type="dxa"/>
          </w:tcPr>
          <w:p>
            <w:pPr>
              <w:pStyle w:val="Tableau"/>
            </w:pPr>
            <w:r>
              <w:t xml:space="preserve">Vérifier le compte rendu de la sauvegarde (copie hors serveur comprise)</w:t>
            </w:r>
          </w:p>
        </w:tc>
      </w:tr>
      <w:tr>
        <w:trPr>
          <w:cantSplit/>
        </w:trPr>
        <w:tc>
          <w:tcPr>
            <w:tcW w:w="2127" w:type="dxa"/>
          </w:tcPr>
          <w:p>
            <w:pPr>
              <w:pStyle w:val="Tableau"/>
            </w:pPr>
            <w:r>
              <w:t xml:space="preserve">Chaque mois</w:t>
            </w:r>
          </w:p>
        </w:tc>
        <w:tc>
          <w:tcPr>
            <w:tcW w:w="7510" w:type="dxa"/>
          </w:tcPr>
          <w:p>
            <w:pPr>
              <w:pStyle w:val="Tableau"/>
            </w:pPr>
            <w:r>
              <w:t xml:space="preserve">Mettre à jour les images (</w:t>
            </w:r>
            <w:hyperlink w:history="true" w:anchor="_s41">
              <w:r>
                <w:rPr>
                  <w:rStyle w:val="Hyperlink"/>
                </w:rPr>
                <w:t xml:space="preserve">Mise à jour mensuelle</w:t>
              </w:r>
            </w:hyperlink>
            <w:r>
              <w:t xml:space="preserve">) ; restauration d'essai</w:t>
            </w:r>
          </w:p>
        </w:tc>
      </w:tr>
      <w:tr>
        <w:trPr>
          <w:cantSplit/>
        </w:trPr>
        <w:tc>
          <w:tcPr>
            <w:tcW w:w="2127" w:type="dxa"/>
          </w:tcPr>
          <w:p>
            <w:pPr>
              <w:pStyle w:val="Tableau"/>
            </w:pPr>
            <w:r>
              <w:t xml:space="preserve">Chaque mois</w:t>
            </w:r>
          </w:p>
        </w:tc>
        <w:tc>
          <w:tcPr>
            <w:tcW w:w="7510" w:type="dxa"/>
          </w:tcPr>
          <w:p>
            <w:pPr>
              <w:pStyle w:val="Tableau"/>
            </w:pPr>
            <w:r>
              <w:t xml:space="preserve">Vérifier les comptes SSH autorisés (</w:t>
            </w:r>
            <w:r>
              <w:rPr>
                <w:rStyle w:val="CodeCar"/>
              </w:rPr>
              <w:t xml:space="preserve">~/.ssh/authorized_keys</w:t>
            </w:r>
            <w:r>
              <w:t xml:space="preserve">) et les comptes d'administrateur de la plateforme</w:t>
            </w:r>
          </w:p>
        </w:tc>
      </w:tr>
      <w:tr>
        <w:trPr>
          <w:cantSplit/>
        </w:trPr>
        <w:tc>
          <w:tcPr>
            <w:tcW w:w="2127" w:type="dxa"/>
          </w:tcPr>
          <w:p>
            <w:pPr>
              <w:pStyle w:val="Tableau"/>
            </w:pPr>
            <w:r>
              <w:t xml:space="preserve">À chaque départ</w:t>
            </w:r>
          </w:p>
        </w:tc>
        <w:tc>
          <w:tcPr>
            <w:tcW w:w="7510" w:type="dxa"/>
          </w:tcPr>
          <w:p>
            <w:pPr>
              <w:pStyle w:val="Tableau"/>
            </w:pPr>
            <w:r>
              <w:t xml:space="preserve">Retirer la clé SSH de la personne ; faire désactiver ses comptes par l'administrateur ; changer les secrets qu'elle connaissait</w:t>
            </w:r>
          </w:p>
        </w:tc>
      </w:tr>
      <w:tr>
        <w:trPr>
          <w:cantSplit/>
        </w:trPr>
        <w:tc>
          <w:tcPr>
            <w:tcW w:w="2127" w:type="dxa"/>
          </w:tcPr>
          <w:p>
            <w:pPr>
              <w:pStyle w:val="Tableau"/>
            </w:pPr>
            <w:r>
              <w:t xml:space="preserve">En cas d'incident</w:t>
            </w:r>
          </w:p>
        </w:tc>
        <w:tc>
          <w:tcPr>
            <w:tcW w:w="7510" w:type="dxa"/>
          </w:tcPr>
          <w:p>
            <w:pPr>
              <w:pStyle w:val="Tableau"/>
            </w:pPr>
            <w:r>
              <w:t xml:space="preserve">Conserver les journaux (</w:t>
            </w:r>
            <w:hyperlink w:history="true" w:anchor="_s54">
              <w:r>
                <w:rPr>
                  <w:rStyle w:val="Hyperlink"/>
                </w:rPr>
                <w:t xml:space="preserve">Supervision</w:t>
              </w:r>
            </w:hyperlink>
            <w:r>
              <w:t xml:space="preserve">) avant toute remise en état ; consulter le journal d'audit</w:t>
            </w:r>
          </w:p>
        </w:tc>
      </w:tr>
    </w:tbl>
    <w:p>
      <w:pPr>
        <w:spacing w:before="0" w:after="0"/>
      </w:pPr>
    </w:p>
    <w:tbl>
      <w:tblPr>
        <w:tblW w:w="5000" w:type="pct"/>
        <w:tblCellMar>
          <w:top w:w="100" w:type="dxa"/>
          <w:left w:w="200" w:type="dxa"/>
          <w:bottom w:w="60" w:type="dxa"/>
          <w:right w:w="200" w:type="dxa"/>
        </w:tblCellMar>
      </w:tblPr>
      <w:tr>
        <w:trPr>
          <w:cantSplit/>
        </w:trPr>
        <w:tc>
          <w:tcPr>
            <w:tcW w:w="5000" w:type="pct"/>
            <w:tcBorders>
              <w:left w:val="single" w:color="A15C00" w:sz="24"/>
            </w:tcBorders>
            <w:shd w:val="clear" w:color="auto" w:fill="FFF6E5"/>
          </w:tcPr>
          <w:p>
            <w:pPr>
              <w:pStyle w:val="Encadre"/>
            </w:pPr>
            <w:r>
              <w:rPr>
                <w:b/>
                <w:color w:val="A15C00"/>
              </w:rPr>
              <w:t xml:space="preserve">Attention</w:t>
            </w:r>
          </w:p>
          <w:p>
            <w:pPr>
              <w:pStyle w:val="Encadre"/>
            </w:pPr>
            <w:r>
              <w:t xml:space="preserve">Les clés de protection des données (volume </w:t>
            </w:r>
            <w:r>
              <w:rPr>
                <w:rStyle w:val="CodeCar"/>
              </w:rPr>
              <w:t xml:space="preserve">app-keys</w:t>
            </w:r>
            <w:r>
              <w:t xml:space="preserve">) sont enregistrées en clair dans le volume, ce qui est</w:t>
            </w:r>
            <w:r>
              <w:t xml:space="preserve"> </w:t>
            </w:r>
            <w:r>
              <w:t xml:space="preserve">acceptable sur un serveur dédié ; elles sont chiffrées dans la copie hors serveur. Ne copiez jamais ce volume</w:t>
            </w:r>
            <w:r>
              <w:t xml:space="preserve"> </w:t>
            </w:r>
            <w:r>
              <w:t xml:space="preserve">ailleurs sans chiffrement.</w:t>
            </w:r>
          </w:p>
        </w:tc>
      </w:tr>
    </w:tbl>
    <w:p>
      <w:pPr>
        <w:spacing w:before="0" w:after="0"/>
      </w:pPr>
    </w:p>
    <w:p>
      <w:pPr>
        <w:pStyle w:val="Heading2"/>
      </w:pPr>
      <w:bookmarkStart w:name="_s53" w:id="56"/>
      <w:r>
        <w:rPr>
          <w:color w:val="D9480F"/>
        </w:rPr>
        <w:t xml:space="preserve">7.6  </w:t>
      </w:r>
      <w:r>
        <w:t xml:space="preserve">Signaler ou traiter une compromission</w:t>
      </w:r>
      <w:bookmarkEnd w:id="56"/>
    </w:p>
    <w:p>
      <w:pPr/>
      <w:r>
        <w:t xml:space="preserve">Si vous soupçonnez un accès illégitime :</w:t>
      </w:r>
    </w:p>
    <w:p>
      <w:pPr>
        <w:pStyle w:val="ListParagraph"/>
        <w:numPr>
          <w:ilvl w:val="0"/>
          <w:numId w:val="22"/>
        </w:numPr>
      </w:pPr>
      <w:r>
        <w:t xml:space="preserve">Gardez une copie des journaux (</w:t>
      </w:r>
      <w:r>
        <w:rPr>
          <w:rStyle w:val="CodeCar"/>
        </w:rPr>
        <w:t xml:space="preserve">docker compose logs</w:t>
      </w:r>
      <w:r>
        <w:t xml:space="preserve">, volume </w:t>
      </w:r>
      <w:r>
        <w:rPr>
          <w:rStyle w:val="CodeCar"/>
        </w:rPr>
        <w:t xml:space="preserve">app-logs</w:t>
      </w:r>
      <w:r>
        <w:t xml:space="preserve">) et faites une sauvegarde.</w:t>
      </w:r>
    </w:p>
    <w:p>
      <w:pPr>
        <w:pStyle w:val="ListParagraph"/>
        <w:numPr>
          <w:ilvl w:val="0"/>
          <w:numId w:val="22"/>
        </w:numPr>
      </w:pPr>
      <w:r>
        <w:t xml:space="preserve">Faites désactiver par l'administrateur les comptes concernés ; changez les mots de passe exposés.</w:t>
      </w:r>
    </w:p>
    <w:p>
      <w:pPr>
        <w:pStyle w:val="ListParagraph"/>
        <w:numPr>
          <w:ilvl w:val="0"/>
          <w:numId w:val="22"/>
        </w:numPr>
      </w:pPr>
      <w:r>
        <w:t xml:space="preserve">Pour couper tous les accès d'un coup (sessions et appareils du module hors ligne), changez les secrets de la base,</w:t>
      </w:r>
      <w:r>
        <w:t xml:space="preserve"> </w:t>
      </w:r>
      <w:r>
        <w:t xml:space="preserve">puis remplacez les clés de protection des données : arrêtez </w:t>
      </w:r>
      <w:r>
        <w:rPr>
          <w:rStyle w:val="CodeCar"/>
        </w:rPr>
        <w:t xml:space="preserve">app</w:t>
      </w:r>
      <w:r>
        <w:t xml:space="preserve">, videz le volume </w:t>
      </w:r>
      <w:r>
        <w:rPr>
          <w:rStyle w:val="CodeCar"/>
        </w:rPr>
        <w:t xml:space="preserve">app-keys</w:t>
      </w:r>
      <w:r>
        <w:t xml:space="preserve">, redémarrez. Tous les</w:t>
      </w:r>
      <w:r>
        <w:t xml:space="preserve"> </w:t>
      </w:r>
      <w:r>
        <w:t xml:space="preserve">utilisateurs devront se reconnecter.</w:t>
      </w:r>
    </w:p>
    <w:p>
      <w:pPr>
        <w:pStyle w:val="ListParagraph"/>
        <w:numPr>
          <w:ilvl w:val="0"/>
          <w:numId w:val="22"/>
        </w:numPr>
      </w:pPr>
      <w:r>
        <w:t xml:space="preserve">Examinez le journal d'audit (écran </w:t>
      </w:r>
      <w:r>
        <w:rPr>
          <w:b/>
        </w:rPr>
        <w:t xml:space="preserve">Journal d'audit</w:t>
      </w:r>
      <w:r>
        <w:t xml:space="preserve"> de l'administrateur) pour mesurer l'étendue des actions.</w:t>
      </w:r>
    </w:p>
    <w:p>
      <w:pPr>
        <w:pStyle w:val="Surtitre"/>
      </w:pPr>
      <w:r>
        <w:t xml:space="preserve">CHAPITRE 8</w:t>
      </w:r>
    </w:p>
    <w:p>
      <w:pPr>
        <w:pStyle w:val="Heading1"/>
      </w:pPr>
      <w:bookmarkStart w:name="_s54" w:id="57"/>
      <w:r>
        <w:t xml:space="preserve">Supervision</w:t>
      </w:r>
      <w:bookmarkEnd w:id="57"/>
    </w:p>
    <w:p>
      <w:pPr>
        <w:pStyle w:val="Chapeau"/>
      </w:pPr>
      <w:r>
        <w:t xml:space="preserve">Suivre l'état de la plateforme au quotidien : conteneurs, état de santé, journaux, place disque, sauvegardes et alertes conseillées.</w:t>
      </w:r>
    </w:p>
    <w:p>
      <w:pPr>
        <w:pStyle w:val="Note"/>
      </w:pPr>
      <w:r>
        <w:t xml:space="preserve">Concerne : </w:t>
      </w:r>
      <w:r>
        <w:rPr>
          <w:b/>
        </w:rPr>
        <w:t xml:space="preserve">Équipe technique · Hébergeur</w:t>
      </w:r>
    </w:p>
    <w:p>
      <w:pPr/>
      <w:r>
        <w:t xml:space="preserve">Les commandes de ce chapitre se lancent sur le serveur, dans le dossier du code :</w:t>
      </w:r>
    </w:p>
    <w:p>
      <w:pPr>
        <w:pStyle w:val="Code"/>
        <w:spacing w:after="160"/>
      </w:pPr>
      <w:r>
        <w:t xml:space="preserve">cd /opt/read/code</w:t>
      </w:r>
    </w:p>
    <w:p>
      <w:pPr>
        <w:pStyle w:val="Heading2"/>
      </w:pPr>
      <w:bookmarkStart w:name="_s55" w:id="58"/>
      <w:r>
        <w:rPr>
          <w:color w:val="D9480F"/>
        </w:rPr>
        <w:t xml:space="preserve">8.1  </w:t>
      </w:r>
      <w:r>
        <w:t xml:space="preserve">État des conteneurs</w:t>
      </w:r>
      <w:bookmarkEnd w:id="58"/>
    </w:p>
    <w:p>
      <w:pPr>
        <w:pStyle w:val="Code"/>
        <w:spacing w:after="160"/>
      </w:pPr>
      <w:r>
        <w:t xml:space="preserve">docker compose ps -a</w:t>
      </w:r>
    </w:p>
    <w:p>
      <w:pPr/>
      <w:r>
        <w:t xml:space="preserve">Exemple de résultat attendu :</w:t>
      </w:r>
    </w:p>
    <w:p>
      <w:pPr>
        <w:pStyle w:val="Code"/>
      </w:pPr>
      <w:r>
        <w:t xml:space="preserve">NAME                          SERVICE      STATUS</w:t>
      </w:r>
    </w:p>
    <w:p>
      <w:pPr>
        <w:pStyle w:val="Code"/>
      </w:pPr>
      <w:r>
        <w:t xml:space="preserve">read-plateforme-app-1         app          Up 2 days (healthy)</w:t>
      </w:r>
    </w:p>
    <w:p>
      <w:pPr>
        <w:pStyle w:val="Code"/>
      </w:pPr>
      <w:r>
        <w:t xml:space="preserve">read-plateforme-caddy-1       caddy        Up 2 days</w:t>
      </w:r>
    </w:p>
    <w:p>
      <w:pPr>
        <w:pStyle w:val="Code"/>
      </w:pPr>
      <w:r>
        <w:t xml:space="preserve">read-plateforme-db-1          db           Up 2 days (healthy)</w:t>
      </w:r>
    </w:p>
    <w:p>
      <w:pPr>
        <w:pStyle w:val="Code"/>
        <w:spacing w:after="160"/>
      </w:pPr>
      <w:r>
        <w:t xml:space="preserve">read-plateforme-migrations-1  migrations   Exited (0) 2 days ago</w:t>
      </w:r>
    </w:p>
    <w:p>
      <w:pPr>
        <w:pStyle w:val="ListParagraph"/>
        <w:numPr>
          <w:ilvl w:val="0"/>
          <w:numId w:val="1"/>
        </w:numPr>
      </w:pPr>
      <w:r>
        <w:rPr>
          <w:rStyle w:val="CodeCar"/>
        </w:rPr>
        <w:t xml:space="preserve">app</w:t>
      </w:r>
      <w:r>
        <w:t xml:space="preserve"> est contrôlé toutes les 15 secondes par Docker : il interroge </w:t>
      </w:r>
      <w:r>
        <w:rPr>
          <w:rStyle w:val="CodeCar"/>
        </w:rPr>
        <w:t xml:space="preserve">/health</w:t>
      </w:r>
      <w:r>
        <w:t xml:space="preserve">, qui vérifie aussi l'accès à la base.</w:t>
      </w:r>
      <w:r>
        <w:t xml:space="preserve"> </w:t>
      </w:r>
      <w:r>
        <w:t xml:space="preserve">Après 5 échecs, il passe « unhealthy ».</w:t>
      </w:r>
    </w:p>
    <w:p>
      <w:pPr>
        <w:pStyle w:val="ListParagraph"/>
        <w:numPr>
          <w:ilvl w:val="0"/>
          <w:numId w:val="1"/>
        </w:numPr>
      </w:pPr>
      <w:r>
        <w:rPr>
          <w:rStyle w:val="CodeCar"/>
        </w:rPr>
        <w:t xml:space="preserve">db</w:t>
      </w:r>
      <w:r>
        <w:t xml:space="preserve"> est contrôlé par </w:t>
      </w:r>
      <w:r>
        <w:rPr>
          <w:rStyle w:val="CodeCar"/>
        </w:rPr>
        <w:t xml:space="preserve">pg_isready</w:t>
      </w:r>
      <w:r>
        <w:t xml:space="preserve">.</w:t>
      </w:r>
    </w:p>
    <w:p>
      <w:pPr>
        <w:pStyle w:val="ListParagraph"/>
        <w:numPr>
          <w:ilvl w:val="0"/>
          <w:numId w:val="1"/>
        </w:numPr>
      </w:pPr>
      <w:r>
        <w:rPr>
          <w:rStyle w:val="CodeCar"/>
        </w:rPr>
        <w:t xml:space="preserve">migrations</w:t>
      </w:r>
      <w:r>
        <w:t xml:space="preserve"> doit être arrêté avec le code 0 : un autre code signale un échec de migration</w:t>
      </w:r>
      <w:r>
        <w:t xml:space="preserve"> </w:t>
      </w:r>
      <w:r>
        <w:t xml:space="preserve">(</w:t>
      </w:r>
      <w:hyperlink w:history="true" w:anchor="_s64">
        <w:r>
          <w:rPr>
            <w:rStyle w:val="Hyperlink"/>
          </w:rPr>
          <w:t xml:space="preserve">Dépannage</w:t>
        </w:r>
      </w:hyperlink>
      <w:r>
        <w:t xml:space="preserve">).</w:t>
      </w:r>
    </w:p>
    <w:p>
      <w:pPr>
        <w:pStyle w:val="ListParagraph"/>
        <w:numPr>
          <w:ilvl w:val="0"/>
          <w:numId w:val="1"/>
        </w:numPr>
      </w:pPr>
      <w:r>
        <w:rPr>
          <w:rStyle w:val="CodeCar"/>
        </w:rPr>
        <w:t xml:space="preserve">app</w:t>
      </w:r>
      <w:r>
        <w:t xml:space="preserve">, </w:t>
      </w:r>
      <w:r>
        <w:rPr>
          <w:rStyle w:val="CodeCar"/>
        </w:rPr>
        <w:t xml:space="preserve">db</w:t>
      </w:r>
      <w:r>
        <w:t xml:space="preserve"> et </w:t>
      </w:r>
      <w:r>
        <w:rPr>
          <w:rStyle w:val="CodeCar"/>
        </w:rPr>
        <w:t xml:space="preserve">caddy</w:t>
      </w:r>
      <w:r>
        <w:t xml:space="preserve"> redémarrent seuls après un arrêt inattendu ou un redémarrage du serveur</w:t>
      </w:r>
      <w:r>
        <w:t xml:space="preserve"> </w:t>
      </w:r>
      <w:r>
        <w:t xml:space="preserve">(</w:t>
      </w:r>
      <w:r>
        <w:rPr>
          <w:rStyle w:val="CodeCar"/>
        </w:rPr>
        <w:t xml:space="preserve">restart: unless-stopped</w:t>
      </w:r>
      <w:r>
        <w:t xml:space="preserve">).</w:t>
      </w:r>
    </w:p>
    <w:p>
      <w:pPr>
        <w:pStyle w:val="Heading2"/>
      </w:pPr>
      <w:bookmarkStart w:name="_s56" w:id="59"/>
      <w:r>
        <w:rPr>
          <w:color w:val="D9480F"/>
        </w:rPr>
        <w:t xml:space="preserve">8.2  </w:t>
      </w:r>
      <w:r>
        <w:t xml:space="preserve">Journaux</w:t>
      </w:r>
      <w:bookmarkEnd w:id="59"/>
    </w:p>
    <w:tbl>
      <w:tblPr>
        <w:tblW w:w="5000" w:type="pct"/>
        <w:tblBorders>
          <w:top w:val="single" w:color="DFE4EC" w:sz="4"/>
          <w:bottom w:val="single" w:color="DFE4EC" w:sz="4"/>
          <w:left w:val="nil"/>
          <w:right w:val="nil"/>
          <w:insideH w:val="single" w:color="DFE4EC" w:sz="4"/>
          <w:insideV w:val="nil"/>
        </w:tblBorders>
        <w:tblLayout w:type="fixed"/>
        <w:tblCellMar>
          <w:top w:w="50" w:type="dxa"/>
          <w:left w:w="100" w:type="dxa"/>
          <w:bottom w:w="50" w:type="dxa"/>
          <w:right w:w="100" w:type="dxa"/>
        </w:tblCellMar>
      </w:tblPr>
      <w:tblGrid>
        <w:gridCol w:w="2628"/>
        <w:gridCol w:w="4699"/>
        <w:gridCol w:w="2309"/>
      </w:tblGrid>
      <w:tr>
        <w:trPr>
          <w:cantSplit/>
          <w:tblHeader/>
        </w:trPr>
        <w:tc>
          <w:tcPr>
            <w:tcW w:w="2628" w:type="dxa"/>
            <w:shd w:val="clear" w:color="auto" w:fill="F4F6FA"/>
          </w:tcPr>
          <w:p>
            <w:pPr>
              <w:pStyle w:val="Tableau"/>
            </w:pPr>
            <w:r>
              <w:rPr>
                <w:b/>
              </w:rPr>
              <w:t xml:space="preserve">Source</w:t>
            </w:r>
          </w:p>
        </w:tc>
        <w:tc>
          <w:tcPr>
            <w:tcW w:w="4699" w:type="dxa"/>
            <w:shd w:val="clear" w:color="auto" w:fill="F4F6FA"/>
          </w:tcPr>
          <w:p>
            <w:pPr>
              <w:pStyle w:val="Tableau"/>
            </w:pPr>
            <w:r>
              <w:rPr>
                <w:b/>
              </w:rPr>
              <w:t xml:space="preserve">Commande ou emplacement</w:t>
            </w:r>
          </w:p>
        </w:tc>
        <w:tc>
          <w:tcPr>
            <w:tcW w:w="2309" w:type="dxa"/>
            <w:shd w:val="clear" w:color="auto" w:fill="F4F6FA"/>
          </w:tcPr>
          <w:p>
            <w:pPr>
              <w:pStyle w:val="Tableau"/>
            </w:pPr>
            <w:r>
              <w:rPr>
                <w:b/>
              </w:rPr>
              <w:t xml:space="preserve">Conservation</w:t>
            </w:r>
          </w:p>
        </w:tc>
      </w:tr>
      <w:tr>
        <w:trPr>
          <w:cantSplit/>
        </w:trPr>
        <w:tc>
          <w:tcPr>
            <w:tcW w:w="2628" w:type="dxa"/>
          </w:tcPr>
          <w:p>
            <w:pPr>
              <w:pStyle w:val="Tableau"/>
            </w:pPr>
            <w:r>
              <w:t xml:space="preserve">Application (console)</w:t>
            </w:r>
          </w:p>
        </w:tc>
        <w:tc>
          <w:tcPr>
            <w:tcW w:w="4699" w:type="dxa"/>
          </w:tcPr>
          <w:p>
            <w:pPr>
              <w:pStyle w:val="Tableau"/>
            </w:pPr>
            <w:r>
              <w:rPr>
                <w:rStyle w:val="CodeCar"/>
              </w:rPr>
              <w:t xml:space="preserve">docker compose logs --tail 100 app</w:t>
            </w:r>
          </w:p>
        </w:tc>
        <w:tc>
          <w:tcPr>
            <w:tcW w:w="2309" w:type="dxa"/>
          </w:tcPr>
          <w:p>
            <w:pPr>
              <w:pStyle w:val="Tableau"/>
            </w:pPr>
            <w:r>
              <w:t xml:space="preserve">5 fichiers de 10 Mo</w:t>
            </w:r>
          </w:p>
        </w:tc>
      </w:tr>
      <w:tr>
        <w:trPr>
          <w:cantSplit/>
        </w:trPr>
        <w:tc>
          <w:tcPr>
            <w:tcW w:w="2628" w:type="dxa"/>
          </w:tcPr>
          <w:p>
            <w:pPr>
              <w:pStyle w:val="Tableau"/>
            </w:pPr>
            <w:r>
              <w:t xml:space="preserve">Application (fichiers quotidiens)</w:t>
            </w:r>
          </w:p>
        </w:tc>
        <w:tc>
          <w:tcPr>
            <w:tcW w:w="4699" w:type="dxa"/>
          </w:tcPr>
          <w:p>
            <w:pPr>
              <w:pStyle w:val="Tableau"/>
            </w:pPr>
            <w:r>
              <w:t xml:space="preserve">volume </w:t>
            </w:r>
            <w:r>
              <w:rPr>
                <w:rStyle w:val="CodeCar"/>
              </w:rPr>
              <w:t xml:space="preserve">read-plateforme_app-logs</w:t>
            </w:r>
            <w:r>
              <w:t xml:space="preserve">, fichiers </w:t>
            </w:r>
            <w:r>
              <w:rPr>
                <w:rStyle w:val="CodeCar"/>
              </w:rPr>
              <w:t xml:space="preserve">read-AAAAMMJJ.log</w:t>
            </w:r>
          </w:p>
        </w:tc>
        <w:tc>
          <w:tcPr>
            <w:tcW w:w="2309" w:type="dxa"/>
          </w:tcPr>
          <w:p>
            <w:pPr>
              <w:pStyle w:val="Tableau"/>
            </w:pPr>
            <w:r>
              <w:t xml:space="preserve">30 jours</w:t>
            </w:r>
          </w:p>
        </w:tc>
      </w:tr>
      <w:tr>
        <w:trPr>
          <w:cantSplit/>
        </w:trPr>
        <w:tc>
          <w:tcPr>
            <w:tcW w:w="2628" w:type="dxa"/>
          </w:tcPr>
          <w:p>
            <w:pPr>
              <w:pStyle w:val="Tableau"/>
            </w:pPr>
            <w:r>
              <w:t xml:space="preserve">Caddy (certificats, relais)</w:t>
            </w:r>
          </w:p>
        </w:tc>
        <w:tc>
          <w:tcPr>
            <w:tcW w:w="4699" w:type="dxa"/>
          </w:tcPr>
          <w:p>
            <w:pPr>
              <w:pStyle w:val="Tableau"/>
            </w:pPr>
            <w:r>
              <w:rPr>
                <w:rStyle w:val="CodeCar"/>
              </w:rPr>
              <w:t xml:space="preserve">docker compose logs --tail 100 caddy</w:t>
            </w:r>
          </w:p>
        </w:tc>
        <w:tc>
          <w:tcPr>
            <w:tcW w:w="2309" w:type="dxa"/>
          </w:tcPr>
          <w:p>
            <w:pPr>
              <w:pStyle w:val="Tableau"/>
            </w:pPr>
            <w:r>
              <w:t xml:space="preserve">5 fichiers de 10 Mo</w:t>
            </w:r>
          </w:p>
        </w:tc>
      </w:tr>
      <w:tr>
        <w:trPr>
          <w:cantSplit/>
        </w:trPr>
        <w:tc>
          <w:tcPr>
            <w:tcW w:w="2628" w:type="dxa"/>
          </w:tcPr>
          <w:p>
            <w:pPr>
              <w:pStyle w:val="Tableau"/>
            </w:pPr>
            <w:r>
              <w:t xml:space="preserve">Base</w:t>
            </w:r>
          </w:p>
        </w:tc>
        <w:tc>
          <w:tcPr>
            <w:tcW w:w="4699" w:type="dxa"/>
          </w:tcPr>
          <w:p>
            <w:pPr>
              <w:pStyle w:val="Tableau"/>
            </w:pPr>
            <w:r>
              <w:rPr>
                <w:rStyle w:val="CodeCar"/>
              </w:rPr>
              <w:t xml:space="preserve">docker compose logs --tail 100 db</w:t>
            </w:r>
          </w:p>
        </w:tc>
        <w:tc>
          <w:tcPr>
            <w:tcW w:w="2309" w:type="dxa"/>
          </w:tcPr>
          <w:p>
            <w:pPr>
              <w:pStyle w:val="Tableau"/>
            </w:pPr>
            <w:r>
              <w:t xml:space="preserve">5 fichiers de 10 Mo</w:t>
            </w:r>
          </w:p>
        </w:tc>
      </w:tr>
      <w:tr>
        <w:trPr>
          <w:cantSplit/>
        </w:trPr>
        <w:tc>
          <w:tcPr>
            <w:tcW w:w="2628" w:type="dxa"/>
          </w:tcPr>
          <w:p>
            <w:pPr>
              <w:pStyle w:val="Tableau"/>
            </w:pPr>
            <w:r>
              <w:t xml:space="preserve">Migrations</w:t>
            </w:r>
          </w:p>
        </w:tc>
        <w:tc>
          <w:tcPr>
            <w:tcW w:w="4699" w:type="dxa"/>
          </w:tcPr>
          <w:p>
            <w:pPr>
              <w:pStyle w:val="Tableau"/>
            </w:pPr>
            <w:r>
              <w:rPr>
                <w:rStyle w:val="CodeCar"/>
              </w:rPr>
              <w:t xml:space="preserve">docker compose logs migrations</w:t>
            </w:r>
          </w:p>
        </w:tc>
        <w:tc>
          <w:tcPr>
            <w:tcW w:w="2309" w:type="dxa"/>
          </w:tcPr>
          <w:p>
            <w:pPr>
              <w:pStyle w:val="Tableau"/>
            </w:pPr>
            <w:r>
              <w:t xml:space="preserve">jusqu'au prochain déploiement</w:t>
            </w:r>
          </w:p>
        </w:tc>
      </w:tr>
      <w:tr>
        <w:trPr>
          <w:cantSplit/>
        </w:trPr>
        <w:tc>
          <w:tcPr>
            <w:tcW w:w="2628" w:type="dxa"/>
          </w:tcPr>
          <w:p>
            <w:pPr>
              <w:pStyle w:val="Tableau"/>
            </w:pPr>
            <w:r>
              <w:t xml:space="preserve">Déploiement</w:t>
            </w:r>
          </w:p>
        </w:tc>
        <w:tc>
          <w:tcPr>
            <w:tcW w:w="4699" w:type="dxa"/>
          </w:tcPr>
          <w:p>
            <w:pPr>
              <w:pStyle w:val="Tableau"/>
            </w:pPr>
            <w:r>
              <w:rPr>
                <w:rStyle w:val="CodeCar"/>
              </w:rPr>
              <w:t xml:space="preserve">/opt/read/deploiement.log</w:t>
            </w:r>
          </w:p>
        </w:tc>
        <w:tc>
          <w:tcPr>
            <w:tcW w:w="2309" w:type="dxa"/>
          </w:tcPr>
          <w:p>
            <w:pPr>
              <w:pStyle w:val="Tableau"/>
            </w:pPr>
            <w:r>
              <w:t xml:space="preserve">dernier déploiement</w:t>
            </w:r>
          </w:p>
        </w:tc>
      </w:tr>
      <w:tr>
        <w:trPr>
          <w:cantSplit/>
        </w:trPr>
        <w:tc>
          <w:tcPr>
            <w:tcW w:w="2628" w:type="dxa"/>
          </w:tcPr>
          <w:p>
            <w:pPr>
              <w:pStyle w:val="Tableau"/>
            </w:pPr>
            <w:r>
              <w:t xml:space="preserve">Sauvegarde</w:t>
            </w:r>
          </w:p>
        </w:tc>
        <w:tc>
          <w:tcPr>
            <w:tcW w:w="4699" w:type="dxa"/>
          </w:tcPr>
          <w:p>
            <w:pPr>
              <w:pStyle w:val="Tableau"/>
            </w:pPr>
            <w:r>
              <w:rPr>
                <w:rStyle w:val="CodeCar"/>
              </w:rPr>
              <w:t xml:space="preserve">sudo journalctl -u read-sauvegarde.service</w:t>
            </w:r>
          </w:p>
        </w:tc>
        <w:tc>
          <w:tcPr>
            <w:tcW w:w="2309" w:type="dxa"/>
          </w:tcPr>
          <w:p>
            <w:pPr>
              <w:pStyle w:val="Tableau"/>
            </w:pPr>
            <w:r>
              <w:t xml:space="preserve">journal systemd</w:t>
            </w:r>
          </w:p>
        </w:tc>
      </w:tr>
    </w:tbl>
    <w:p>
      <w:pPr>
        <w:spacing w:before="0" w:after="0"/>
      </w:pPr>
    </w:p>
    <w:p>
      <w:pPr/>
      <w:r>
        <w:t xml:space="preserve">Lire les fichiers quotidiens de l'application :</w:t>
      </w:r>
    </w:p>
    <w:p>
      <w:pPr>
        <w:pStyle w:val="Code"/>
        <w:spacing w:after="160"/>
      </w:pPr>
      <w:r>
        <w:t xml:space="preserve">docker run --rm -v read-plateforme_app-logs:/logs:ro alpine:3.24 sh -c 'ls -l /logs &amp;&amp; tail -n 50 /logs/$(ls /logs | tail -n 1)'</w:t>
      </w:r>
    </w:p>
    <w:p>
      <w:pPr/>
      <w:r>
        <w:t xml:space="preserve">Chaque requête est journalisée sur une ligne (méthode, adresse, code de réponse, durée). Les niveaux </w:t>
      </w:r>
      <w:r>
        <w:rPr>
          <w:rStyle w:val="CodeCar"/>
        </w:rPr>
        <w:t xml:space="preserve">WRN</w:t>
      </w:r>
      <w:r>
        <w:t xml:space="preserve"> et </w:t>
      </w:r>
      <w:r>
        <w:rPr>
          <w:rStyle w:val="CodeCar"/>
        </w:rPr>
        <w:t xml:space="preserve">ERR</w:t>
      </w:r>
      <w:r>
        <w:t xml:space="preserve"> </w:t>
      </w:r>
      <w:r>
        <w:t xml:space="preserve">méritent attention, notamment :</w:t>
      </w:r>
    </w:p>
    <w:p>
      <w:pPr>
        <w:pStyle w:val="ListParagraph"/>
        <w:numPr>
          <w:ilvl w:val="0"/>
          <w:numId w:val="1"/>
        </w:numPr>
      </w:pPr>
      <w:r>
        <w:rPr>
          <w:rStyle w:val="CodeCar"/>
        </w:rPr>
        <w:t xml:space="preserve">Échec de la tâche quotidienne</w:t>
      </w:r>
      <w:r>
        <w:t xml:space="preserve"> : une tâche de conservation n'a pas abouti ;</w:t>
      </w:r>
    </w:p>
    <w:p>
      <w:pPr>
        <w:pStyle w:val="ListParagraph"/>
        <w:numPr>
          <w:ilvl w:val="0"/>
          <w:numId w:val="1"/>
        </w:numPr>
      </w:pPr>
      <w:r>
        <w:rPr>
          <w:rStyle w:val="CodeCar"/>
        </w:rPr>
        <w:t xml:space="preserve">Aucun administrateur : renseigner ADMIN_EMAIL et ADMIN_MOT_DE_PASSE</w:t>
      </w:r>
      <w:r>
        <w:t xml:space="preserve"> : base sans administrateur ;</w:t>
      </w:r>
    </w:p>
    <w:p>
      <w:pPr>
        <w:pStyle w:val="ListParagraph"/>
        <w:numPr>
          <w:ilvl w:val="0"/>
          <w:numId w:val="1"/>
        </w:numPr>
      </w:pPr>
      <w:r>
        <w:t xml:space="preserve">les erreurs d'envoi SMTP.</w:t>
      </w:r>
    </w:p>
    <w:tbl>
      <w:tblPr>
        <w:tblW w:w="5000" w:type="pct"/>
        <w:tblCellMar>
          <w:top w:w="100" w:type="dxa"/>
          <w:left w:w="200" w:type="dxa"/>
          <w:bottom w:w="60" w:type="dxa"/>
          <w:right w:w="200" w:type="dxa"/>
        </w:tblCellMar>
      </w:tblPr>
      <w:tr>
        <w:trPr>
          <w:cantSplit/>
        </w:trPr>
        <w:tc>
          <w:tcPr>
            <w:tcW w:w="5000" w:type="pct"/>
            <w:tcBorders>
              <w:left w:val="single" w:color="0D5BD7" w:sz="24"/>
            </w:tcBorders>
            <w:shd w:val="clear" w:color="auto" w:fill="EEF4FF"/>
          </w:tcPr>
          <w:p>
            <w:pPr>
              <w:pStyle w:val="Encadre"/>
            </w:pPr>
            <w:r>
              <w:rPr>
                <w:b/>
                <w:color w:val="0D5BD7"/>
              </w:rPr>
              <w:t xml:space="preserve">Remarque</w:t>
            </w:r>
          </w:p>
          <w:p>
            <w:pPr>
              <w:pStyle w:val="Encadre"/>
            </w:pPr>
            <w:r>
              <w:t xml:space="preserve">Le contenu des e-mails n'est jamais journalisé (il peut porter un lien de réinitialisation de mot de passe) ; seul</w:t>
            </w:r>
            <w:r>
              <w:t xml:space="preserve"> </w:t>
            </w:r>
            <w:r>
              <w:t xml:space="preserve">leur sujet l'est.</w:t>
            </w:r>
          </w:p>
        </w:tc>
      </w:tr>
    </w:tbl>
    <w:p>
      <w:pPr>
        <w:spacing w:before="0" w:after="0"/>
      </w:pPr>
    </w:p>
    <w:p>
      <w:pPr/>
      <w:r>
        <w:t xml:space="preserve">Le </w:t>
      </w:r>
      <w:r>
        <w:rPr>
          <w:b/>
        </w:rPr>
        <w:t xml:space="preserve">journal d'audit</w:t>
      </w:r>
      <w:r>
        <w:t xml:space="preserve"> (actions des utilisateurs) se consulte dans la plateforme, écran </w:t>
      </w:r>
      <w:r>
        <w:rPr>
          <w:b/>
        </w:rPr>
        <w:t xml:space="preserve">Journal d'audit</w:t>
      </w:r>
      <w:r>
        <w:t xml:space="preserve"> de</w:t>
      </w:r>
      <w:r>
        <w:t xml:space="preserve"> </w:t>
      </w:r>
      <w:r>
        <w:t xml:space="preserve">l'administrateur ; il n'est pas dans les journaux techniques.</w:t>
      </w:r>
    </w:p>
    <w:p>
      <w:pPr>
        <w:pStyle w:val="Heading2"/>
      </w:pPr>
      <w:bookmarkStart w:name="_s57" w:id="60"/>
      <w:r>
        <w:rPr>
          <w:color w:val="D9480F"/>
        </w:rPr>
        <w:t xml:space="preserve">8.3  </w:t>
      </w:r>
      <w:r>
        <w:t xml:space="preserve">Place disque</w:t>
      </w:r>
      <w:bookmarkEnd w:id="60"/>
    </w:p>
    <w:p>
      <w:pPr>
        <w:pStyle w:val="Code"/>
      </w:pPr>
      <w:r>
        <w:t xml:space="preserve">df -h /</w:t>
      </w:r>
    </w:p>
    <w:p>
      <w:pPr>
        <w:pStyle w:val="Code"/>
      </w:pPr>
      <w:r>
        <w:t xml:space="preserve">sudo du -sh /var/backups/read</w:t>
      </w:r>
    </w:p>
    <w:p>
      <w:pPr>
        <w:pStyle w:val="Code"/>
        <w:spacing w:after="160"/>
      </w:pPr>
      <w:r>
        <w:t xml:space="preserve">docker system df</w:t>
      </w:r>
    </w:p>
    <w:p>
      <w:pPr/>
      <w:r>
        <w:t xml:space="preserve">Les sauvegardes locales sont le premier poste de consommation (30 copies complètes de la base et des fichiers</w:t>
      </w:r>
      <w:r>
        <w:t xml:space="preserve"> </w:t>
      </w:r>
      <w:r>
        <w:t xml:space="preserve">déposés). Les images Docker inutilisées laissées par les déploiements successifs s'accumulent aussi ; supprimez-les de</w:t>
      </w:r>
      <w:r>
        <w:t xml:space="preserve"> </w:t>
      </w:r>
      <w:r>
        <w:t xml:space="preserve">temps en temps :</w:t>
      </w:r>
    </w:p>
    <w:p>
      <w:pPr>
        <w:pStyle w:val="Code"/>
        <w:spacing w:after="160"/>
      </w:pPr>
      <w:r>
        <w:t xml:space="preserve">docker image prune -f</w:t>
      </w:r>
    </w:p>
    <w:tbl>
      <w:tblPr>
        <w:tblW w:w="5000" w:type="pct"/>
        <w:tblCellMar>
          <w:top w:w="100" w:type="dxa"/>
          <w:left w:w="200" w:type="dxa"/>
          <w:bottom w:w="60" w:type="dxa"/>
          <w:right w:w="200" w:type="dxa"/>
        </w:tblCellMar>
      </w:tblPr>
      <w:tr>
        <w:trPr>
          <w:cantSplit/>
        </w:trPr>
        <w:tc>
          <w:tcPr>
            <w:tcW w:w="5000" w:type="pct"/>
            <w:tcBorders>
              <w:left w:val="single" w:color="C0262D" w:sz="24"/>
            </w:tcBorders>
            <w:shd w:val="clear" w:color="auto" w:fill="FDEEEE"/>
          </w:tcPr>
          <w:p>
            <w:pPr>
              <w:pStyle w:val="Encadre"/>
            </w:pPr>
            <w:r>
              <w:rPr>
                <w:b/>
                <w:color w:val="C0262D"/>
              </w:rPr>
              <w:t xml:space="preserve">Danger</w:t>
            </w:r>
          </w:p>
          <w:p>
            <w:pPr>
              <w:pStyle w:val="Encadre"/>
            </w:pPr>
            <w:r>
              <w:t xml:space="preserve">N'utilisez pas </w:t>
            </w:r>
            <w:r>
              <w:rPr>
                <w:rStyle w:val="CodeCar"/>
              </w:rPr>
              <w:t xml:space="preserve">docker system prune --volumes</w:t>
            </w:r>
            <w:r>
              <w:t xml:space="preserve"> ni </w:t>
            </w:r>
            <w:r>
              <w:rPr>
                <w:rStyle w:val="CodeCar"/>
              </w:rPr>
              <w:t xml:space="preserve">docker volume prune</w:t>
            </w:r>
            <w:r>
              <w:t xml:space="preserve"> : ces commandes peuvent supprimer les volumes</w:t>
            </w:r>
            <w:r>
              <w:t xml:space="preserve"> </w:t>
            </w:r>
            <w:r>
              <w:t xml:space="preserve">de données de la plateforme.</w:t>
            </w:r>
          </w:p>
        </w:tc>
      </w:tr>
    </w:tbl>
    <w:p>
      <w:pPr>
        <w:spacing w:before="0" w:after="0"/>
      </w:pPr>
    </w:p>
    <w:p>
      <w:pPr>
        <w:pStyle w:val="Heading2"/>
      </w:pPr>
      <w:bookmarkStart w:name="_s58" w:id="61"/>
      <w:r>
        <w:rPr>
          <w:color w:val="D9480F"/>
        </w:rPr>
        <w:t xml:space="preserve">8.4  </w:t>
      </w:r>
      <w:r>
        <w:t xml:space="preserve">Sauvegardes</w:t>
      </w:r>
      <w:bookmarkEnd w:id="61"/>
    </w:p>
    <w:p>
      <w:pPr/>
      <w:r>
        <w:t xml:space="preserve">Chaque jour ouvré, vérifiez que la sauvegarde de la nuit s'est terminée et que la copie hors serveur est partie :</w:t>
      </w:r>
    </w:p>
    <w:p>
      <w:pPr>
        <w:pStyle w:val="Code"/>
      </w:pPr>
      <w:r>
        <w:t xml:space="preserve">sudo journalctl -u read-sauvegarde.service --since yesterday | tail -n 5</w:t>
      </w:r>
    </w:p>
    <w:p>
      <w:pPr>
        <w:pStyle w:val="Code"/>
        <w:spacing w:after="160"/>
      </w:pPr>
      <w:r>
        <w:t xml:space="preserve">ls /var/backups/read | tail -n 3</w:t>
      </w:r>
    </w:p>
    <w:p>
      <w:pPr>
        <w:pStyle w:val="Heading2"/>
      </w:pPr>
      <w:bookmarkStart w:name="_s59" w:id="62"/>
      <w:r>
        <w:rPr>
          <w:color w:val="D9480F"/>
        </w:rPr>
        <w:t xml:space="preserve">8.5  </w:t>
      </w:r>
      <w:r>
        <w:t xml:space="preserve">Alertes conseillées</w:t>
      </w:r>
      <w:bookmarkEnd w:id="62"/>
    </w:p>
    <w:p>
      <w:pPr/>
      <w:r>
        <w:t xml:space="preserve">La plateforme n'envoie pas elle-même d'alertes techniques. Mettez en place au minimum :</w:t>
      </w:r>
    </w:p>
    <w:tbl>
      <w:tblPr>
        <w:tblW w:w="5000" w:type="pct"/>
        <w:tblBorders>
          <w:top w:val="single" w:color="DFE4EC" w:sz="4"/>
          <w:bottom w:val="single" w:color="DFE4EC" w:sz="4"/>
          <w:left w:val="nil"/>
          <w:right w:val="nil"/>
          <w:insideH w:val="single" w:color="DFE4EC" w:sz="4"/>
          <w:insideV w:val="nil"/>
        </w:tblBorders>
        <w:tblLayout w:type="fixed"/>
        <w:tblCellMar>
          <w:top w:w="50" w:type="dxa"/>
          <w:left w:w="100" w:type="dxa"/>
          <w:bottom w:w="50" w:type="dxa"/>
          <w:right w:w="100" w:type="dxa"/>
        </w:tblCellMar>
      </w:tblPr>
      <w:tblGrid>
        <w:gridCol w:w="1493"/>
        <w:gridCol w:w="4072"/>
        <w:gridCol w:w="4072"/>
      </w:tblGrid>
      <w:tr>
        <w:trPr>
          <w:cantSplit/>
          <w:tblHeader/>
        </w:trPr>
        <w:tc>
          <w:tcPr>
            <w:tcW w:w="1493" w:type="dxa"/>
            <w:shd w:val="clear" w:color="auto" w:fill="F4F6FA"/>
          </w:tcPr>
          <w:p>
            <w:pPr>
              <w:pStyle w:val="Tableau"/>
            </w:pPr>
            <w:r>
              <w:rPr>
                <w:b/>
              </w:rPr>
              <w:t xml:space="preserve">Surveillance</w:t>
            </w:r>
          </w:p>
        </w:tc>
        <w:tc>
          <w:tcPr>
            <w:tcW w:w="4072" w:type="dxa"/>
            <w:shd w:val="clear" w:color="auto" w:fill="F4F6FA"/>
          </w:tcPr>
          <w:p>
            <w:pPr>
              <w:pStyle w:val="Tableau"/>
            </w:pPr>
            <w:r>
              <w:rPr>
                <w:b/>
              </w:rPr>
              <w:t xml:space="preserve">Moyen conseillé</w:t>
            </w:r>
          </w:p>
        </w:tc>
        <w:tc>
          <w:tcPr>
            <w:tcW w:w="4072" w:type="dxa"/>
            <w:shd w:val="clear" w:color="auto" w:fill="F4F6FA"/>
          </w:tcPr>
          <w:p>
            <w:pPr>
              <w:pStyle w:val="Tableau"/>
            </w:pPr>
            <w:r>
              <w:rPr>
                <w:b/>
              </w:rPr>
              <w:t xml:space="preserve">Seuil</w:t>
            </w:r>
          </w:p>
        </w:tc>
      </w:tr>
      <w:tr>
        <w:trPr>
          <w:cantSplit/>
        </w:trPr>
        <w:tc>
          <w:tcPr>
            <w:tcW w:w="1493" w:type="dxa"/>
          </w:tcPr>
          <w:p>
            <w:pPr>
              <w:pStyle w:val="Tableau"/>
            </w:pPr>
            <w:r>
              <w:t xml:space="preserve">Disponibilité du site</w:t>
            </w:r>
          </w:p>
        </w:tc>
        <w:tc>
          <w:tcPr>
            <w:tcW w:w="4072" w:type="dxa"/>
          </w:tcPr>
          <w:p>
            <w:pPr>
              <w:pStyle w:val="Tableau"/>
            </w:pPr>
            <w:r>
              <w:t xml:space="preserve">Service de supervision externe interrogeant la page d'accueil en HTTPS toutes les 5 minutes</w:t>
            </w:r>
          </w:p>
        </w:tc>
        <w:tc>
          <w:tcPr>
            <w:tcW w:w="4072" w:type="dxa"/>
          </w:tcPr>
          <w:p>
            <w:pPr>
              <w:pStyle w:val="Tableau"/>
            </w:pPr>
            <w:r>
              <w:t xml:space="preserve">2 échecs consécutifs</w:t>
            </w:r>
          </w:p>
        </w:tc>
      </w:tr>
      <w:tr>
        <w:trPr>
          <w:cantSplit/>
        </w:trPr>
        <w:tc>
          <w:tcPr>
            <w:tcW w:w="1493" w:type="dxa"/>
          </w:tcPr>
          <w:p>
            <w:pPr>
              <w:pStyle w:val="Tableau"/>
            </w:pPr>
            <w:r>
              <w:t xml:space="preserve">Validité du certificat</w:t>
            </w:r>
          </w:p>
        </w:tc>
        <w:tc>
          <w:tcPr>
            <w:tcW w:w="4072" w:type="dxa"/>
          </w:tcPr>
          <w:p>
            <w:pPr>
              <w:pStyle w:val="Tableau"/>
            </w:pPr>
            <w:r>
              <w:t xml:space="preserve">Même service (contrôle du certificat)</w:t>
            </w:r>
          </w:p>
        </w:tc>
        <w:tc>
          <w:tcPr>
            <w:tcW w:w="4072" w:type="dxa"/>
          </w:tcPr>
          <w:p>
            <w:pPr>
              <w:pStyle w:val="Tableau"/>
            </w:pPr>
            <w:r>
              <w:t xml:space="preserve">Expiration dans moins de 14 jours (Caddy renouvelle bien avant)</w:t>
            </w:r>
          </w:p>
        </w:tc>
      </w:tr>
      <w:tr>
        <w:trPr>
          <w:cantSplit/>
        </w:trPr>
        <w:tc>
          <w:tcPr>
            <w:tcW w:w="1493" w:type="dxa"/>
          </w:tcPr>
          <w:p>
            <w:pPr>
              <w:pStyle w:val="Tableau"/>
            </w:pPr>
            <w:r>
              <w:t xml:space="preserve">Sauvegarde</w:t>
            </w:r>
          </w:p>
        </w:tc>
        <w:tc>
          <w:tcPr>
            <w:tcW w:w="4072" w:type="dxa"/>
          </w:tcPr>
          <w:p>
            <w:pPr>
              <w:pStyle w:val="Tableau"/>
            </w:pPr>
            <w:r>
              <w:t xml:space="preserve">Lecture quotidienne du compte rendu, ou script qui vérifie qu'un dossier de moins de 26 heures existe</w:t>
            </w:r>
          </w:p>
        </w:tc>
        <w:tc>
          <w:tcPr>
            <w:tcW w:w="4072" w:type="dxa"/>
          </w:tcPr>
          <w:p>
            <w:pPr>
              <w:pStyle w:val="Tableau"/>
            </w:pPr>
            <w:r>
              <w:t xml:space="preserve">Absence de sauvegarde du jour</w:t>
            </w:r>
          </w:p>
        </w:tc>
      </w:tr>
      <w:tr>
        <w:trPr>
          <w:cantSplit/>
        </w:trPr>
        <w:tc>
          <w:tcPr>
            <w:tcW w:w="1493" w:type="dxa"/>
          </w:tcPr>
          <w:p>
            <w:pPr>
              <w:pStyle w:val="Tableau"/>
            </w:pPr>
            <w:r>
              <w:t xml:space="preserve">Place disque</w:t>
            </w:r>
          </w:p>
        </w:tc>
        <w:tc>
          <w:tcPr>
            <w:tcW w:w="4072" w:type="dxa"/>
          </w:tcPr>
          <w:p>
            <w:pPr>
              <w:pStyle w:val="Tableau"/>
            </w:pPr>
            <w:r>
              <w:t xml:space="preserve">Supervision de l'hébergeur ou tâche planifiée sur </w:t>
            </w:r>
            <w:r>
              <w:rPr>
                <w:rStyle w:val="CodeCar"/>
              </w:rPr>
              <w:t xml:space="preserve">df</w:t>
            </w:r>
          </w:p>
        </w:tc>
        <w:tc>
          <w:tcPr>
            <w:tcW w:w="4072" w:type="dxa"/>
          </w:tcPr>
          <w:p>
            <w:pPr>
              <w:pStyle w:val="Tableau"/>
            </w:pPr>
            <w:r>
              <w:t xml:space="preserve">Plus de 80 % occupés</w:t>
            </w:r>
          </w:p>
        </w:tc>
      </w:tr>
      <w:tr>
        <w:trPr>
          <w:cantSplit/>
        </w:trPr>
        <w:tc>
          <w:tcPr>
            <w:tcW w:w="1493" w:type="dxa"/>
          </w:tcPr>
          <w:p>
            <w:pPr>
              <w:pStyle w:val="Tableau"/>
            </w:pPr>
            <w:r>
              <w:t xml:space="preserve">Mémoire</w:t>
            </w:r>
          </w:p>
        </w:tc>
        <w:tc>
          <w:tcPr>
            <w:tcW w:w="4072" w:type="dxa"/>
          </w:tcPr>
          <w:p>
            <w:pPr>
              <w:pStyle w:val="Tableau"/>
            </w:pPr>
            <w:r>
              <w:t xml:space="preserve">Supervision de l'hébergeur</w:t>
            </w:r>
          </w:p>
        </w:tc>
        <w:tc>
          <w:tcPr>
            <w:tcW w:w="4072" w:type="dxa"/>
          </w:tcPr>
          <w:p>
            <w:pPr>
              <w:pStyle w:val="Tableau"/>
            </w:pPr>
            <w:r>
              <w:t xml:space="preserve">Usage du swap durable</w:t>
            </w:r>
          </w:p>
        </w:tc>
      </w:tr>
    </w:tbl>
    <w:p>
      <w:pPr>
        <w:spacing w:before="0" w:after="0"/>
      </w:pPr>
    </w:p>
    <w:p>
      <w:pPr>
        <w:pStyle w:val="Heading2"/>
      </w:pPr>
      <w:bookmarkStart w:name="_s60" w:id="63"/>
      <w:r>
        <w:rPr>
          <w:color w:val="D9480F"/>
        </w:rPr>
        <w:t xml:space="preserve">8.6  </w:t>
      </w:r>
      <w:r>
        <w:t xml:space="preserve">Statistiques d'utilisation</w:t>
      </w:r>
      <w:bookmarkEnd w:id="63"/>
    </w:p>
    <w:p>
      <w:pPr/>
      <w:r>
        <w:t xml:space="preserve">L'administrateur dispose dans la plateforme d'un écran </w:t>
      </w:r>
      <w:r>
        <w:rPr>
          <w:b/>
        </w:rPr>
        <w:t xml:space="preserve">Statistiques d'utilisation</w:t>
      </w:r>
      <w:r>
        <w:t xml:space="preserve"> (organisations actives,</w:t>
      </w:r>
      <w:r>
        <w:t xml:space="preserve"> </w:t>
      </w:r>
      <w:r>
        <w:t xml:space="preserve">connexions par semaine, rapports transmis à temps, téléchargements). Il renseigne sur l'usage, pas sur la santé</w:t>
      </w:r>
      <w:r>
        <w:t xml:space="preserve"> </w:t>
      </w:r>
      <w:r>
        <w:t xml:space="preserve">technique.</w:t>
      </w:r>
    </w:p>
    <w:p>
      <w:pPr>
        <w:pStyle w:val="Surtitre"/>
      </w:pPr>
      <w:r>
        <w:t xml:space="preserve">CHAPITRE 9</w:t>
      </w:r>
    </w:p>
    <w:p>
      <w:pPr>
        <w:pStyle w:val="Heading1"/>
      </w:pPr>
      <w:bookmarkStart w:name="_s61" w:id="64"/>
      <w:r>
        <w:t xml:space="preserve">Dépannage</w:t>
      </w:r>
      <w:bookmarkEnd w:id="64"/>
    </w:p>
    <w:p>
      <w:pPr>
        <w:pStyle w:val="Chapeau"/>
      </w:pPr>
      <w:r>
        <w:t xml:space="preserve">Fiches d'incidents courants, chacune avec ses symptômes, son diagnostic et sa solution.</w:t>
      </w:r>
    </w:p>
    <w:p>
      <w:pPr>
        <w:pStyle w:val="Note"/>
      </w:pPr>
      <w:r>
        <w:t xml:space="preserve">Concerne : </w:t>
      </w:r>
      <w:r>
        <w:rPr>
          <w:b/>
        </w:rPr>
        <w:t xml:space="preserve">Équipe technique · Hébergeur</w:t>
      </w:r>
    </w:p>
    <w:p>
      <w:pPr/>
      <w:r>
        <w:t xml:space="preserve">Chaque fiche décrit un </w:t>
      </w:r>
      <w:r>
        <w:rPr>
          <w:b/>
        </w:rPr>
        <w:t xml:space="preserve">symptôme</w:t>
      </w:r>
      <w:r>
        <w:t xml:space="preserve">, la façon de le </w:t>
      </w:r>
      <w:r>
        <w:rPr>
          <w:b/>
        </w:rPr>
        <w:t xml:space="preserve">diagnostiquer</w:t>
      </w:r>
      <w:r>
        <w:t xml:space="preserve"> et la </w:t>
      </w:r>
      <w:r>
        <w:rPr>
          <w:b/>
        </w:rPr>
        <w:t xml:space="preserve">solution</w:t>
      </w:r>
      <w:r>
        <w:t xml:space="preserve">. Les commandes se lancent sur</w:t>
      </w:r>
      <w:r>
        <w:t xml:space="preserve"> </w:t>
      </w:r>
      <w:r>
        <w:t xml:space="preserve">le serveur, dans </w:t>
      </w:r>
      <w:r>
        <w:rPr>
          <w:rStyle w:val="CodeCar"/>
        </w:rPr>
        <w:t xml:space="preserve">/opt/read/code</w:t>
      </w:r>
      <w:r>
        <w:t xml:space="preserve">.</w:t>
      </w:r>
    </w:p>
    <w:tbl>
      <w:tblPr>
        <w:tblW w:w="5000" w:type="pct"/>
        <w:tblCellMar>
          <w:top w:w="100" w:type="dxa"/>
          <w:left w:w="200" w:type="dxa"/>
          <w:bottom w:w="60" w:type="dxa"/>
          <w:right w:w="200" w:type="dxa"/>
        </w:tblCellMar>
      </w:tblPr>
      <w:tr>
        <w:trPr>
          <w:cantSplit/>
        </w:trPr>
        <w:tc>
          <w:tcPr>
            <w:tcW w:w="5000" w:type="pct"/>
            <w:tcBorders>
              <w:left w:val="single" w:color="12805C" w:sz="24"/>
            </w:tcBorders>
            <w:shd w:val="clear" w:color="auto" w:fill="ECF8F3"/>
          </w:tcPr>
          <w:p>
            <w:pPr>
              <w:pStyle w:val="Encadre"/>
            </w:pPr>
            <w:r>
              <w:rPr>
                <w:b/>
                <w:color w:val="12805C"/>
              </w:rPr>
              <w:t xml:space="preserve">Conseil</w:t>
            </w:r>
          </w:p>
          <w:p>
            <w:pPr>
              <w:pStyle w:val="Encadre"/>
            </w:pPr>
            <w:r>
              <w:t xml:space="preserve">Avant toute remise en état importante, faites une sauvegarde (</w:t>
            </w:r>
            <w:r>
              <w:rPr>
                <w:rStyle w:val="CodeCar"/>
              </w:rPr>
              <w:t xml:space="preserve">sudo /opt/read/code/deploy/sauvegarde.sh</w:t>
            </w:r>
            <w:r>
              <w:t xml:space="preserve">) et gardez</w:t>
            </w:r>
            <w:r>
              <w:t xml:space="preserve"> </w:t>
            </w:r>
            <w:r>
              <w:t xml:space="preserve">une copie des journaux : ils disparaissent quand les conteneurs sont recréés.</w:t>
            </w:r>
          </w:p>
        </w:tc>
      </w:tr>
    </w:tbl>
    <w:p>
      <w:pPr>
        <w:spacing w:before="0" w:after="0"/>
      </w:pPr>
    </w:p>
    <w:p>
      <w:pPr>
        <w:pStyle w:val="Heading2"/>
      </w:pPr>
      <w:bookmarkStart w:name="_s62" w:id="65"/>
      <w:r>
        <w:rPr>
          <w:color w:val="D9480F"/>
        </w:rPr>
        <w:t xml:space="preserve">9.1  </w:t>
      </w:r>
      <w:r>
        <w:t xml:space="preserve">Le certificat HTTPS n'est pas obtenu</w:t>
      </w:r>
      <w:bookmarkEnd w:id="65"/>
    </w:p>
    <w:p>
      <w:pPr/>
      <w:r>
        <w:rPr>
          <w:b/>
        </w:rPr>
        <w:t xml:space="preserve">Symptôme.</w:t>
      </w:r>
      <w:r>
        <w:t xml:space="preserve"> Le navigateur signale une connexion non sécurisée ou un certificat invalide ; le site ne répond pas en</w:t>
      </w:r>
      <w:r>
        <w:t xml:space="preserve"> </w:t>
      </w:r>
      <w:r>
        <w:t xml:space="preserve">HTTPS.</w:t>
      </w:r>
    </w:p>
    <w:p>
      <w:pPr/>
      <w:r>
        <w:rPr>
          <w:b/>
        </w:rPr>
        <w:t xml:space="preserve">Diagnostic.</w:t>
      </w:r>
    </w:p>
    <w:p>
      <w:pPr>
        <w:pStyle w:val="Code"/>
        <w:spacing w:after="160"/>
      </w:pPr>
      <w:r>
        <w:t xml:space="preserve">docker compose logs --tail 200 caddy | grep -i -E "error|acme|challenge"</w:t>
      </w:r>
    </w:p>
    <w:p>
      <w:pPr/>
      <w:r>
        <w:t xml:space="preserve">Causes habituelles :</w:t>
      </w:r>
    </w:p>
    <w:p>
      <w:pPr>
        <w:pStyle w:val="ListParagraph"/>
        <w:numPr>
          <w:ilvl w:val="0"/>
          <w:numId w:val="1"/>
        </w:numPr>
      </w:pPr>
      <w:r>
        <w:t xml:space="preserve">le nom de domaine ne pointe pas (ou pas encore) vers le serveur : vérifiez les enregistrements </w:t>
      </w:r>
      <w:r>
        <w:rPr>
          <w:rStyle w:val="CodeCar"/>
        </w:rPr>
        <w:t xml:space="preserve">A</w:t>
      </w:r>
      <w:r>
        <w:t xml:space="preserve"> et </w:t>
      </w:r>
      <w:r>
        <w:rPr>
          <w:rStyle w:val="CodeCar"/>
        </w:rPr>
        <w:t xml:space="preserve">AAAA</w:t>
      </w:r>
      <w:r>
        <w:t xml:space="preserve"> depuis</w:t>
      </w:r>
      <w:r>
        <w:t xml:space="preserve"> </w:t>
      </w:r>
      <w:r>
        <w:t xml:space="preserve">un autre poste (</w:t>
      </w:r>
      <w:r>
        <w:rPr>
          <w:rStyle w:val="CodeCar"/>
        </w:rPr>
        <w:t xml:space="preserve">nslookup read.example.org</w:t>
      </w:r>
      <w:r>
        <w:t xml:space="preserve">) ; un enregistrement </w:t>
      </w:r>
      <w:r>
        <w:rPr>
          <w:rStyle w:val="CodeCar"/>
        </w:rPr>
        <w:t xml:space="preserve">AAAA</w:t>
      </w:r>
      <w:r>
        <w:t xml:space="preserve"> vers une autre machine suffit à faire</w:t>
      </w:r>
      <w:r>
        <w:t xml:space="preserve"> </w:t>
      </w:r>
      <w:r>
        <w:t xml:space="preserve">échouer la validation ;</w:t>
      </w:r>
    </w:p>
    <w:p>
      <w:pPr>
        <w:pStyle w:val="ListParagraph"/>
        <w:numPr>
          <w:ilvl w:val="0"/>
          <w:numId w:val="1"/>
        </w:numPr>
      </w:pPr>
      <w:r>
        <w:t xml:space="preserve">les ports 80 ou 443 sont fermés (pare-feu </w:t>
      </w:r>
      <w:r>
        <w:rPr>
          <w:rStyle w:val="CodeCar"/>
        </w:rPr>
        <w:t xml:space="preserve">ufw</w:t>
      </w:r>
      <w:r>
        <w:t xml:space="preserve">, pare-feu de l'hébergeur) ou occupés par un autre service ;</w:t>
      </w:r>
    </w:p>
    <w:p>
      <w:pPr>
        <w:pStyle w:val="ListParagraph"/>
        <w:numPr>
          <w:ilvl w:val="0"/>
          <w:numId w:val="1"/>
        </w:numPr>
      </w:pPr>
      <w:r>
        <w:t xml:space="preserve">le domaine passe par un proxy ou un CDN ;</w:t>
      </w:r>
    </w:p>
    <w:p>
      <w:pPr>
        <w:pStyle w:val="ListParagraph"/>
        <w:numPr>
          <w:ilvl w:val="0"/>
          <w:numId w:val="1"/>
        </w:numPr>
      </w:pPr>
      <w:r>
        <w:rPr>
          <w:rStyle w:val="CodeCar"/>
        </w:rPr>
        <w:t xml:space="preserve">SITE_ADDRESS</w:t>
      </w:r>
      <w:r>
        <w:t xml:space="preserve"> contient une faute, un </w:t>
      </w:r>
      <w:r>
        <w:rPr>
          <w:rStyle w:val="CodeCar"/>
        </w:rPr>
        <w:t xml:space="preserve">https://</w:t>
      </w:r>
      <w:r>
        <w:t xml:space="preserve"> ou un </w:t>
      </w:r>
      <w:r>
        <w:rPr>
          <w:rStyle w:val="CodeCar"/>
        </w:rPr>
        <w:t xml:space="preserve">/</w:t>
      </w:r>
      <w:r>
        <w:t xml:space="preserve"> final ;</w:t>
      </w:r>
    </w:p>
    <w:p>
      <w:pPr>
        <w:pStyle w:val="ListParagraph"/>
        <w:numPr>
          <w:ilvl w:val="0"/>
          <w:numId w:val="1"/>
        </w:numPr>
      </w:pPr>
      <w:r>
        <w:t xml:space="preserve">trop d'essais : Let's Encrypt limite le nombre de demandes ; Caddy réessaie seul, plus tard.</w:t>
      </w:r>
    </w:p>
    <w:p>
      <w:pPr/>
      <w:r>
        <w:rPr>
          <w:b/>
        </w:rPr>
        <w:t xml:space="preserve">Solution.</w:t>
      </w:r>
      <w:r>
        <w:t xml:space="preserve"> Corrigez la cause, puis </w:t>
      </w:r>
      <w:r>
        <w:rPr>
          <w:rStyle w:val="CodeCar"/>
        </w:rPr>
        <w:t xml:space="preserve">docker compose up -d</w:t>
      </w:r>
      <w:r>
        <w:t xml:space="preserve"> (si </w:t>
      </w:r>
      <w:r>
        <w:rPr>
          <w:rStyle w:val="CodeCar"/>
        </w:rPr>
        <w:t xml:space="preserve">.env</w:t>
      </w:r>
      <w:r>
        <w:t xml:space="preserve"> a changé) ou </w:t>
      </w:r>
      <w:r>
        <w:rPr>
          <w:rStyle w:val="CodeCar"/>
        </w:rPr>
        <w:t xml:space="preserve">docker compose restart caddy</w:t>
      </w:r>
      <w:r>
        <w:t xml:space="preserve">.</w:t>
      </w:r>
      <w:r>
        <w:t xml:space="preserve"> </w:t>
      </w:r>
      <w:r>
        <w:t xml:space="preserve">Caddy redemande le certificat de lui-même.</w:t>
      </w:r>
    </w:p>
    <w:p>
      <w:pPr>
        <w:pStyle w:val="Heading2"/>
      </w:pPr>
      <w:bookmarkStart w:name="_s63" w:id="66"/>
      <w:r>
        <w:rPr>
          <w:color w:val="D9480F"/>
        </w:rPr>
        <w:t xml:space="preserve">9.2  </w:t>
      </w:r>
      <w:r>
        <w:t xml:space="preserve">Le conteneur de l'application est « unhealthy » ou redémarre en boucle</w:t>
      </w:r>
      <w:bookmarkEnd w:id="66"/>
    </w:p>
    <w:p>
      <w:pPr/>
      <w:r>
        <w:rPr>
          <w:b/>
        </w:rPr>
        <w:t xml:space="preserve">Symptôme.</w:t>
      </w:r>
      <w:r>
        <w:t xml:space="preserve"> </w:t>
      </w:r>
      <w:r>
        <w:rPr>
          <w:rStyle w:val="CodeCar"/>
        </w:rPr>
        <w:t xml:space="preserve">docker compose ps</w:t>
      </w:r>
      <w:r>
        <w:t xml:space="preserve"> montre </w:t>
      </w:r>
      <w:r>
        <w:rPr>
          <w:rStyle w:val="CodeCar"/>
        </w:rPr>
        <w:t xml:space="preserve">app</w:t>
      </w:r>
      <w:r>
        <w:t xml:space="preserve"> « unhealthy » ou « Restarting » ; le site répond 502.</w:t>
      </w:r>
    </w:p>
    <w:p>
      <w:pPr/>
      <w:r>
        <w:rPr>
          <w:b/>
        </w:rPr>
        <w:t xml:space="preserve">Diagnostic.</w:t>
      </w:r>
    </w:p>
    <w:p>
      <w:pPr>
        <w:pStyle w:val="Code"/>
      </w:pPr>
      <w:r>
        <w:t xml:space="preserve">docker compose logs --tail 200 app</w:t>
      </w:r>
    </w:p>
    <w:p>
      <w:pPr>
        <w:pStyle w:val="Code"/>
        <w:spacing w:after="160"/>
      </w:pPr>
      <w:r>
        <w:t xml:space="preserve">docker compose ps -a</w:t>
      </w:r>
    </w:p>
    <w:p>
      <w:pPr>
        <w:pStyle w:val="ListParagraph"/>
        <w:numPr>
          <w:ilvl w:val="0"/>
          <w:numId w:val="1"/>
        </w:numPr>
      </w:pPr>
      <w:r>
        <w:rPr>
          <w:rStyle w:val="CodeCar"/>
        </w:rPr>
        <w:t xml:space="preserve">Chaîne de connexion 'ConnectionStrings:Read' manquante</w:t>
      </w:r>
      <w:r>
        <w:t xml:space="preserve"> ou erreur d'authentification PostgreSQL pour </w:t>
      </w:r>
      <w:r>
        <w:rPr>
          <w:rStyle w:val="CodeCar"/>
        </w:rPr>
        <w:t xml:space="preserve">read_app</w:t>
      </w:r>
      <w:r>
        <w:t xml:space="preserve"> :</w:t>
      </w:r>
      <w:r>
        <w:t xml:space="preserve"> </w:t>
      </w:r>
      <w:r>
        <w:t xml:space="preserve">le service </w:t>
      </w:r>
      <w:r>
        <w:rPr>
          <w:rStyle w:val="CodeCar"/>
        </w:rPr>
        <w:t xml:space="preserve">migrations</w:t>
      </w:r>
      <w:r>
        <w:t xml:space="preserve"> n'a pas créé ou mis à jour le rôle (voir la fiche suivante), ou </w:t>
      </w:r>
      <w:r>
        <w:rPr>
          <w:rStyle w:val="CodeCar"/>
        </w:rPr>
        <w:t xml:space="preserve">POSTGRES_APP_PASSWORD</w:t>
      </w:r>
      <w:r>
        <w:t xml:space="preserve"> </w:t>
      </w:r>
      <w:r>
        <w:t xml:space="preserve">a changé sans nouveau </w:t>
      </w:r>
      <w:r>
        <w:rPr>
          <w:rStyle w:val="CodeCar"/>
        </w:rPr>
        <w:t xml:space="preserve">up</w:t>
      </w:r>
      <w:r>
        <w:t xml:space="preserve">.</w:t>
      </w:r>
    </w:p>
    <w:p>
      <w:pPr>
        <w:pStyle w:val="ListParagraph"/>
        <w:numPr>
          <w:ilvl w:val="0"/>
          <w:numId w:val="1"/>
        </w:numPr>
      </w:pPr>
      <w:r>
        <w:rPr>
          <w:rStyle w:val="CodeCar"/>
        </w:rPr>
        <w:t xml:space="preserve">db</w:t>
      </w:r>
      <w:r>
        <w:t xml:space="preserve"> n'est pas « healthy » : la base est arrêtée, le disque est plein, ou le volume est endommagé.</w:t>
      </w:r>
    </w:p>
    <w:p>
      <w:pPr>
        <w:pStyle w:val="ListParagraph"/>
        <w:numPr>
          <w:ilvl w:val="0"/>
          <w:numId w:val="1"/>
        </w:numPr>
      </w:pPr>
      <w:r>
        <w:t xml:space="preserve">Erreur au démarrage dans l'initialisation (référentiels, administrateur) : le message l'indique.</w:t>
      </w:r>
    </w:p>
    <w:p>
      <w:pPr/>
      <w:r>
        <w:rPr>
          <w:b/>
        </w:rPr>
        <w:t xml:space="preserve">Solution.</w:t>
      </w:r>
      <w:r>
        <w:t xml:space="preserve"> Corrigez la cause puis relancez l'ensemble : </w:t>
      </w:r>
      <w:r>
        <w:rPr>
          <w:rStyle w:val="CodeCar"/>
        </w:rPr>
        <w:t xml:space="preserve">docker compose up -d</w:t>
      </w:r>
      <w:r>
        <w:t xml:space="preserve">. Si </w:t>
      </w:r>
      <w:r>
        <w:rPr>
          <w:rStyle w:val="CodeCar"/>
        </w:rPr>
        <w:t xml:space="preserve">db</w:t>
      </w:r>
      <w:r>
        <w:t xml:space="preserve"> est en cause, consultez</w:t>
      </w:r>
      <w:r>
        <w:t xml:space="preserve"> </w:t>
      </w:r>
      <w:r>
        <w:rPr>
          <w:rStyle w:val="CodeCar"/>
        </w:rPr>
        <w:t xml:space="preserve">docker compose logs db</w:t>
      </w:r>
      <w:r>
        <w:t xml:space="preserve">.</w:t>
      </w:r>
    </w:p>
    <w:p>
      <w:pPr>
        <w:pStyle w:val="Heading2"/>
      </w:pPr>
      <w:bookmarkStart w:name="_s64" w:id="67"/>
      <w:r>
        <w:rPr>
          <w:color w:val="D9480F"/>
        </w:rPr>
        <w:t xml:space="preserve">9.3  </w:t>
      </w:r>
      <w:r>
        <w:t xml:space="preserve">Les migrations échouent</w:t>
      </w:r>
      <w:bookmarkEnd w:id="67"/>
    </w:p>
    <w:p>
      <w:pPr/>
      <w:r>
        <w:rPr>
          <w:b/>
        </w:rPr>
        <w:t xml:space="preserve">Symptôme.</w:t>
      </w:r>
      <w:r>
        <w:t xml:space="preserve"> </w:t>
      </w:r>
      <w:r>
        <w:rPr>
          <w:rStyle w:val="CodeCar"/>
        </w:rPr>
        <w:t xml:space="preserve">migrations</w:t>
      </w:r>
      <w:r>
        <w:t xml:space="preserve"> est arrêté avec un code différent de 0 ; </w:t>
      </w:r>
      <w:r>
        <w:rPr>
          <w:rStyle w:val="CodeCar"/>
        </w:rPr>
        <w:t xml:space="preserve">app</w:t>
      </w:r>
      <w:r>
        <w:t xml:space="preserve"> ne démarre pas (il attend la réussite des</w:t>
      </w:r>
      <w:r>
        <w:t xml:space="preserve"> </w:t>
      </w:r>
      <w:r>
        <w:t xml:space="preserve">migrations).</w:t>
      </w:r>
    </w:p>
    <w:p>
      <w:pPr/>
      <w:r>
        <w:rPr>
          <w:b/>
        </w:rPr>
        <w:t xml:space="preserve">Diagnostic.</w:t>
      </w:r>
    </w:p>
    <w:p>
      <w:pPr>
        <w:pStyle w:val="Code"/>
        <w:spacing w:after="160"/>
      </w:pPr>
      <w:r>
        <w:t xml:space="preserve">docker compose logs migrations</w:t>
      </w:r>
    </w:p>
    <w:tbl>
      <w:tblPr>
        <w:tblW w:w="5000" w:type="pct"/>
        <w:tblCellMar>
          <w:top w:w="100" w:type="dxa"/>
          <w:left w:w="200" w:type="dxa"/>
          <w:bottom w:w="60" w:type="dxa"/>
          <w:right w:w="200" w:type="dxa"/>
        </w:tblCellMar>
      </w:tblPr>
      <w:tr>
        <w:trPr>
          <w:cantSplit/>
        </w:trPr>
        <w:tc>
          <w:tcPr>
            <w:tcW w:w="5000" w:type="pct"/>
            <w:tcBorders>
              <w:left w:val="single" w:color="0D5BD7" w:sz="24"/>
            </w:tcBorders>
            <w:shd w:val="clear" w:color="auto" w:fill="EEF4FF"/>
          </w:tcPr>
          <w:p>
            <w:pPr>
              <w:pStyle w:val="Encadre"/>
            </w:pPr>
            <w:r>
              <w:rPr>
                <w:b/>
                <w:color w:val="0D5BD7"/>
              </w:rPr>
              <w:t xml:space="preserve">Remarque</w:t>
            </w:r>
          </w:p>
          <w:p>
            <w:pPr>
              <w:pStyle w:val="Encadre"/>
            </w:pPr>
            <w:r>
              <w:t xml:space="preserve">Sur une base vide, une erreur </w:t>
            </w:r>
            <w:r>
              <w:rPr>
                <w:rStyle w:val="CodeCar"/>
              </w:rPr>
              <w:t xml:space="preserve">SELECT … FROM "__EFMigrationsHistory"</w:t>
            </w:r>
            <w:r>
              <w:t xml:space="preserve"> apparaît avant la création de cette table :</w:t>
            </w:r>
            <w:r>
              <w:t xml:space="preserve"> </w:t>
            </w:r>
            <w:r>
              <w:t xml:space="preserve">elle est normale et n'arrête pas le service.</w:t>
            </w:r>
          </w:p>
        </w:tc>
      </w:tr>
    </w:tbl>
    <w:p>
      <w:pPr>
        <w:spacing w:before="0" w:after="0"/>
      </w:pPr>
    </w:p>
    <w:p>
      <w:pPr/>
      <w:r>
        <w:t xml:space="preserve">Causes possibles : </w:t>
      </w:r>
      <w:r>
        <w:rPr>
          <w:rStyle w:val="CodeCar"/>
        </w:rPr>
        <w:t xml:space="preserve">POSTGRES_PASSWORD</w:t>
      </w:r>
      <w:r>
        <w:t xml:space="preserve"> différent du mot de passe réel du compte propriétaire (il est fixé à la création</w:t>
      </w:r>
      <w:r>
        <w:t xml:space="preserve"> </w:t>
      </w:r>
      <w:r>
        <w:t xml:space="preserve">du volume) ; nom de rôle </w:t>
      </w:r>
      <w:r>
        <w:rPr>
          <w:rStyle w:val="CodeCar"/>
        </w:rPr>
        <w:t xml:space="preserve">POSTGRES_APP_USER</w:t>
      </w:r>
      <w:r>
        <w:t xml:space="preserve"> invalide (lettres minuscules, chiffres et </w:t>
      </w:r>
      <w:r>
        <w:rPr>
          <w:rStyle w:val="CodeCar"/>
        </w:rPr>
        <w:t xml:space="preserve">_</w:t>
      </w:r>
      <w:r>
        <w:t xml:space="preserve"> seulement) ; migration en</w:t>
      </w:r>
      <w:r>
        <w:t xml:space="preserve"> </w:t>
      </w:r>
      <w:r>
        <w:t xml:space="preserve">conflit avec des données existantes.</w:t>
      </w:r>
    </w:p>
    <w:p>
      <w:pPr/>
      <w:r>
        <w:rPr>
          <w:b/>
        </w:rPr>
        <w:t xml:space="preserve">Solution.</w:t>
      </w:r>
      <w:r>
        <w:t xml:space="preserve"> Corrigez </w:t>
      </w:r>
      <w:r>
        <w:rPr>
          <w:rStyle w:val="CodeCar"/>
        </w:rPr>
        <w:t xml:space="preserve">.env</w:t>
      </w:r>
      <w:r>
        <w:t xml:space="preserve"> puis </w:t>
      </w:r>
      <w:r>
        <w:rPr>
          <w:rStyle w:val="CodeCar"/>
        </w:rPr>
        <w:t xml:space="preserve">docker compose up -d</w:t>
      </w:r>
      <w:r>
        <w:t xml:space="preserve">. Si une migration d'une nouvelle version échoue sur les</w:t>
      </w:r>
      <w:r>
        <w:t xml:space="preserve"> </w:t>
      </w:r>
      <w:r>
        <w:t xml:space="preserve">données, revenez à la version précédente (</w:t>
      </w:r>
      <w:hyperlink w:history="true" w:anchor="_s39">
        <w:r>
          <w:rPr>
            <w:rStyle w:val="Hyperlink"/>
          </w:rPr>
          <w:t xml:space="preserve">Retour arrière</w:t>
        </w:r>
      </w:hyperlink>
      <w:r>
        <w:t xml:space="preserve">) et</w:t>
      </w:r>
      <w:r>
        <w:t xml:space="preserve"> </w:t>
      </w:r>
      <w:r>
        <w:t xml:space="preserve">restaurez au besoin la sauvegarde d'avant le déploiement ; transmettez le message d'erreur à l'équipe de développement.</w:t>
      </w:r>
    </w:p>
    <w:p>
      <w:pPr>
        <w:pStyle w:val="Heading2"/>
      </w:pPr>
      <w:bookmarkStart w:name="_s65" w:id="68"/>
      <w:r>
        <w:rPr>
          <w:color w:val="D9480F"/>
        </w:rPr>
        <w:t xml:space="preserve">9.4  </w:t>
      </w:r>
      <w:r>
        <w:t xml:space="preserve">Le disque est plein</w:t>
      </w:r>
      <w:bookmarkEnd w:id="68"/>
    </w:p>
    <w:p>
      <w:pPr/>
      <w:r>
        <w:rPr>
          <w:b/>
        </w:rPr>
        <w:t xml:space="preserve">Symptôme.</w:t>
      </w:r>
      <w:r>
        <w:t xml:space="preserve"> Erreurs d'écriture, base arrêtée, dépôts de fichiers refusés, sauvegarde en échec.</w:t>
      </w:r>
    </w:p>
    <w:p>
      <w:pPr/>
      <w:r>
        <w:rPr>
          <w:b/>
        </w:rPr>
        <w:t xml:space="preserve">Diagnostic.</w:t>
      </w:r>
    </w:p>
    <w:p>
      <w:pPr>
        <w:pStyle w:val="Code"/>
      </w:pPr>
      <w:r>
        <w:t xml:space="preserve">df -h /</w:t>
      </w:r>
    </w:p>
    <w:p>
      <w:pPr>
        <w:pStyle w:val="Code"/>
      </w:pPr>
      <w:r>
        <w:t xml:space="preserve">sudo du -sh /var/backups/read /var/lib/docker</w:t>
      </w:r>
    </w:p>
    <w:p>
      <w:pPr>
        <w:pStyle w:val="Code"/>
        <w:spacing w:after="160"/>
      </w:pPr>
      <w:r>
        <w:t xml:space="preserve">docker system df</w:t>
      </w:r>
    </w:p>
    <w:p>
      <w:pPr/>
      <w:r>
        <w:rPr>
          <w:b/>
        </w:rPr>
        <w:t xml:space="preserve">Solution.</w:t>
      </w:r>
    </w:p>
    <w:p>
      <w:pPr>
        <w:pStyle w:val="ListParagraph"/>
        <w:numPr>
          <w:ilvl w:val="0"/>
          <w:numId w:val="23"/>
        </w:numPr>
      </w:pPr>
      <w:r>
        <w:t xml:space="preserve">Supprimez les images Docker inutilisées : </w:t>
      </w:r>
      <w:r>
        <w:rPr>
          <w:rStyle w:val="CodeCar"/>
        </w:rPr>
        <w:t xml:space="preserve">docker image prune -f</w:t>
      </w:r>
      <w:r>
        <w:t xml:space="preserve">, et le cache de construction ancien :</w:t>
      </w:r>
      <w:r>
        <w:t xml:space="preserve"> </w:t>
      </w:r>
      <w:r>
        <w:rPr>
          <w:rStyle w:val="CodeCar"/>
        </w:rPr>
        <w:t xml:space="preserve">docker builder prune -f --filter until=720h</w:t>
      </w:r>
      <w:r>
        <w:t xml:space="preserve">.</w:t>
      </w:r>
    </w:p>
    <w:p>
      <w:pPr>
        <w:pStyle w:val="ListParagraph"/>
        <w:numPr>
          <w:ilvl w:val="0"/>
          <w:numId w:val="23"/>
        </w:numPr>
      </w:pPr>
      <w:r>
        <w:t xml:space="preserve">Si les sauvegardes locales dominent et que la copie hors serveur est en place, réduisez </w:t>
      </w:r>
      <w:r>
        <w:rPr>
          <w:rStyle w:val="CodeCar"/>
        </w:rPr>
        <w:t xml:space="preserve">SAUVEGARDE_JOURS</w:t>
      </w:r>
      <w:r>
        <w:t xml:space="preserve"> ou</w:t>
      </w:r>
      <w:r>
        <w:t xml:space="preserve"> </w:t>
      </w:r>
      <w:r>
        <w:t xml:space="preserve">supprimez à la main les dossiers les plus anciens de </w:t>
      </w:r>
      <w:r>
        <w:rPr>
          <w:rStyle w:val="CodeCar"/>
        </w:rPr>
        <w:t xml:space="preserve">/var/backups/read</w:t>
      </w:r>
      <w:r>
        <w:t xml:space="preserve">.</w:t>
      </w:r>
    </w:p>
    <w:p>
      <w:pPr>
        <w:pStyle w:val="ListParagraph"/>
        <w:numPr>
          <w:ilvl w:val="0"/>
          <w:numId w:val="23"/>
        </w:numPr>
      </w:pPr>
      <w:r>
        <w:t xml:space="preserve">Si besoin, agrandissez le disque chez l'hébergeur.</w:t>
      </w:r>
    </w:p>
    <w:p>
      <w:pPr>
        <w:pStyle w:val="ListParagraph"/>
        <w:numPr>
          <w:ilvl w:val="0"/>
          <w:numId w:val="23"/>
        </w:numPr>
      </w:pPr>
      <w:r>
        <w:t xml:space="preserve">Relancez </w:t>
      </w:r>
      <w:r>
        <w:rPr>
          <w:rStyle w:val="CodeCar"/>
        </w:rPr>
        <w:t xml:space="preserve">docker compose up -d</w:t>
      </w:r>
      <w:r>
        <w:t xml:space="preserve"> et vérifiez l'état des conteneurs.</w:t>
      </w:r>
    </w:p>
    <w:tbl>
      <w:tblPr>
        <w:tblW w:w="5000" w:type="pct"/>
        <w:tblCellMar>
          <w:top w:w="100" w:type="dxa"/>
          <w:left w:w="200" w:type="dxa"/>
          <w:bottom w:w="60" w:type="dxa"/>
          <w:right w:w="200" w:type="dxa"/>
        </w:tblCellMar>
      </w:tblPr>
      <w:tr>
        <w:trPr>
          <w:cantSplit/>
        </w:trPr>
        <w:tc>
          <w:tcPr>
            <w:tcW w:w="5000" w:type="pct"/>
            <w:tcBorders>
              <w:left w:val="single" w:color="C0262D" w:sz="24"/>
            </w:tcBorders>
            <w:shd w:val="clear" w:color="auto" w:fill="FDEEEE"/>
          </w:tcPr>
          <w:p>
            <w:pPr>
              <w:pStyle w:val="Encadre"/>
            </w:pPr>
            <w:r>
              <w:rPr>
                <w:b/>
                <w:color w:val="C0262D"/>
              </w:rPr>
              <w:t xml:space="preserve">Danger</w:t>
            </w:r>
          </w:p>
          <w:p>
            <w:pPr>
              <w:pStyle w:val="Encadre"/>
            </w:pPr>
            <w:r>
              <w:t xml:space="preserve">Ne supprimez jamais de fichiers dans </w:t>
            </w:r>
            <w:r>
              <w:rPr>
                <w:rStyle w:val="CodeCar"/>
              </w:rPr>
              <w:t xml:space="preserve">/var/lib/docker/volumes</w:t>
            </w:r>
            <w:r>
              <w:t xml:space="preserve"> : ce sont les données de la plateforme.</w:t>
            </w:r>
          </w:p>
        </w:tc>
      </w:tr>
    </w:tbl>
    <w:p>
      <w:pPr>
        <w:spacing w:before="0" w:after="0"/>
      </w:pPr>
    </w:p>
    <w:p>
      <w:pPr>
        <w:pStyle w:val="Heading2"/>
      </w:pPr>
      <w:bookmarkStart w:name="_s66" w:id="69"/>
      <w:r>
        <w:rPr>
          <w:color w:val="D9480F"/>
        </w:rPr>
        <w:t xml:space="preserve">9.5  </w:t>
      </w:r>
      <w:r>
        <w:t xml:space="preserve">Les e-mails ne partent pas</w:t>
      </w:r>
      <w:bookmarkEnd w:id="69"/>
    </w:p>
    <w:p>
      <w:pPr/>
      <w:r>
        <w:rPr>
          <w:b/>
        </w:rPr>
        <w:t xml:space="preserve">Symptôme.</w:t>
      </w:r>
      <w:r>
        <w:t xml:space="preserve"> Les utilisateurs ne reçoivent ni le lien « mot de passe oublié » ni les copies de notifications.</w:t>
      </w:r>
    </w:p>
    <w:p>
      <w:pPr/>
      <w:r>
        <w:rPr>
          <w:b/>
        </w:rPr>
        <w:t xml:space="preserve">Diagnostic.</w:t>
      </w:r>
    </w:p>
    <w:p>
      <w:pPr>
        <w:pStyle w:val="Code"/>
        <w:spacing w:after="160"/>
      </w:pPr>
      <w:r>
        <w:t xml:space="preserve">docker compose logs --tail 300 app | grep -i -E "e-mail|smtp"</w:t>
      </w:r>
    </w:p>
    <w:p>
      <w:pPr>
        <w:pStyle w:val="ListParagraph"/>
        <w:numPr>
          <w:ilvl w:val="0"/>
          <w:numId w:val="1"/>
        </w:numPr>
      </w:pPr>
      <w:r>
        <w:rPr>
          <w:rStyle w:val="CodeCar"/>
        </w:rPr>
        <w:t xml:space="preserve">écrit dans la boîte d'envoi locale … aucun serveur SMTP réglé</w:t>
      </w:r>
      <w:r>
        <w:t xml:space="preserve"> : </w:t>
      </w:r>
      <w:r>
        <w:rPr>
          <w:rStyle w:val="CodeCar"/>
        </w:rPr>
        <w:t xml:space="preserve">EMAIL_HOTE</w:t>
      </w:r>
      <w:r>
        <w:t xml:space="preserve"> est vide.</w:t>
      </w:r>
    </w:p>
    <w:p>
      <w:pPr>
        <w:pStyle w:val="ListParagraph"/>
        <w:numPr>
          <w:ilvl w:val="0"/>
          <w:numId w:val="1"/>
        </w:numPr>
      </w:pPr>
      <w:r>
        <w:t xml:space="preserve">Erreur d'authentification ou de connexion : identifiant, mot de passe, port ou </w:t>
      </w:r>
      <w:r>
        <w:rPr>
          <w:rStyle w:val="CodeCar"/>
        </w:rPr>
        <w:t xml:space="preserve">EMAIL_SECURITE</w:t>
      </w:r>
      <w:r>
        <w:t xml:space="preserve"> incorrects, ou port</w:t>
      </w:r>
      <w:r>
        <w:t xml:space="preserve"> </w:t>
      </w:r>
      <w:r>
        <w:t xml:space="preserve">sortant bloqué par l'hébergeur.</w:t>
      </w:r>
    </w:p>
    <w:p>
      <w:pPr>
        <w:pStyle w:val="ListParagraph"/>
        <w:numPr>
          <w:ilvl w:val="0"/>
          <w:numId w:val="1"/>
        </w:numPr>
      </w:pPr>
      <w:r>
        <w:t xml:space="preserve">Messages envoyés mais non reçus : l'adresse </w:t>
      </w:r>
      <w:r>
        <w:rPr>
          <w:rStyle w:val="CodeCar"/>
        </w:rPr>
        <w:t xml:space="preserve">EMAIL_EXPEDITEUR</w:t>
      </w:r>
      <w:r>
        <w:t xml:space="preserve"> n'est pas autorisée par le serveur SMTP, ou les</w:t>
      </w:r>
      <w:r>
        <w:t xml:space="preserve"> </w:t>
      </w:r>
      <w:r>
        <w:t xml:space="preserve">enregistrements SPF/DKIM du domaine manquent (messages classés indésirables).</w:t>
      </w:r>
    </w:p>
    <w:p>
      <w:pPr>
        <w:pStyle w:val="ListParagraph"/>
        <w:numPr>
          <w:ilvl w:val="0"/>
          <w:numId w:val="1"/>
        </w:numPr>
      </w:pPr>
      <w:r>
        <w:t xml:space="preserve">L'utilisateur n'a pas d'adresse e-mail dans son compte, ou a désactivé les copies par e-mail dans son profil.</w:t>
      </w:r>
    </w:p>
    <w:p>
      <w:pPr/>
      <w:r>
        <w:rPr>
          <w:b/>
        </w:rPr>
        <w:t xml:space="preserve">Solution.</w:t>
      </w:r>
      <w:r>
        <w:t xml:space="preserve"> Corrigez les variables </w:t>
      </w:r>
      <w:r>
        <w:rPr>
          <w:rStyle w:val="CodeCar"/>
        </w:rPr>
        <w:t xml:space="preserve">EMAIL_*</w:t>
      </w:r>
      <w:r>
        <w:t xml:space="preserve">, puis </w:t>
      </w:r>
      <w:r>
        <w:rPr>
          <w:rStyle w:val="CodeCar"/>
        </w:rPr>
        <w:t xml:space="preserve">docker compose up -d</w:t>
      </w:r>
      <w:r>
        <w:t xml:space="preserve">. Les notifications en attente sont envoyées</w:t>
      </w:r>
      <w:r>
        <w:t xml:space="preserve"> </w:t>
      </w:r>
      <w:r>
        <w:t xml:space="preserve">par la tâche de fond qui tourne chaque minute.</w:t>
      </w:r>
    </w:p>
    <w:p>
      <w:pPr>
        <w:pStyle w:val="Heading2"/>
      </w:pPr>
      <w:bookmarkStart w:name="_s67" w:id="70"/>
      <w:r>
        <w:rPr>
          <w:color w:val="D9480F"/>
        </w:rPr>
        <w:t xml:space="preserve">9.6  </w:t>
      </w:r>
      <w:r>
        <w:t xml:space="preserve">L'heure affichée est fausse ou les connexions échouent par intermittence</w:t>
      </w:r>
      <w:bookmarkEnd w:id="70"/>
    </w:p>
    <w:p>
      <w:pPr/>
      <w:r>
        <w:rPr>
          <w:b/>
        </w:rPr>
        <w:t xml:space="preserve">Symptôme.</w:t>
      </w:r>
      <w:r>
        <w:t xml:space="preserve"> Dates décalées dans le journal, jetons du module hors ligne refusés, certificat jugé « pas encore</w:t>
      </w:r>
      <w:r>
        <w:t xml:space="preserve"> </w:t>
      </w:r>
      <w:r>
        <w:t xml:space="preserve">valide ».</w:t>
      </w:r>
    </w:p>
    <w:p>
      <w:pPr/>
      <w:r>
        <w:rPr>
          <w:b/>
        </w:rPr>
        <w:t xml:space="preserve">Diagnostic.</w:t>
      </w:r>
      <w:r>
        <w:t xml:space="preserve"> </w:t>
      </w:r>
      <w:r>
        <w:rPr>
          <w:rStyle w:val="CodeCar"/>
        </w:rPr>
        <w:t xml:space="preserve">timedatectl</w:t>
      </w:r>
      <w:r>
        <w:t xml:space="preserve"> : </w:t>
      </w:r>
      <w:r>
        <w:rPr>
          <w:rStyle w:val="CodeCar"/>
        </w:rPr>
        <w:t xml:space="preserve">System clock synchronized</w:t>
      </w:r>
      <w:r>
        <w:t xml:space="preserve"> doit valoir </w:t>
      </w:r>
      <w:r>
        <w:rPr>
          <w:rStyle w:val="CodeCar"/>
        </w:rPr>
        <w:t xml:space="preserve">yes</w:t>
      </w:r>
      <w:r>
        <w:t xml:space="preserve">.</w:t>
      </w:r>
    </w:p>
    <w:p>
      <w:pPr/>
      <w:r>
        <w:rPr>
          <w:b/>
        </w:rPr>
        <w:t xml:space="preserve">Solution.</w:t>
      </w:r>
      <w:r>
        <w:t xml:space="preserve"> Réactivez la synchronisation : </w:t>
      </w:r>
      <w:r>
        <w:rPr>
          <w:rStyle w:val="CodeCar"/>
        </w:rPr>
        <w:t xml:space="preserve">sudo timedatectl set-ntp true</w:t>
      </w:r>
      <w:r>
        <w:t xml:space="preserve">. La plateforme enregistre les dates en UTC</w:t>
      </w:r>
      <w:r>
        <w:t xml:space="preserve"> </w:t>
      </w:r>
      <w:r>
        <w:t xml:space="preserve">et les affiche à l'heure de Niamey : ne changez pas le fuseau des conteneurs.</w:t>
      </w:r>
    </w:p>
    <w:p>
      <w:pPr>
        <w:pStyle w:val="Heading2"/>
      </w:pPr>
      <w:bookmarkStart w:name="_s68" w:id="71"/>
      <w:r>
        <w:rPr>
          <w:color w:val="D9480F"/>
        </w:rPr>
        <w:t xml:space="preserve">9.7  </w:t>
      </w:r>
      <w:r>
        <w:t xml:space="preserve">Le mot de passe de l'administrateur est perdu</w:t>
      </w:r>
      <w:bookmarkEnd w:id="71"/>
    </w:p>
    <w:p>
      <w:pPr/>
      <w:r>
        <w:rPr>
          <w:b/>
        </w:rPr>
        <w:t xml:space="preserve">Symptôme.</w:t>
      </w:r>
      <w:r>
        <w:t xml:space="preserve"> Plus aucun administrateur ne peut se connecter.</w:t>
      </w:r>
    </w:p>
    <w:p>
      <w:pPr/>
      <w:r>
        <w:rPr>
          <w:b/>
        </w:rPr>
        <w:t xml:space="preserve">Solution</w:t>
      </w:r>
      <w:r>
        <w:t xml:space="preserve">, dans l'ordre :</w:t>
      </w:r>
    </w:p>
    <w:p>
      <w:pPr>
        <w:pStyle w:val="ListParagraph"/>
        <w:numPr>
          <w:ilvl w:val="0"/>
          <w:numId w:val="24"/>
        </w:numPr>
      </w:pPr>
      <w:r>
        <w:t xml:space="preserve">Un autre administrateur réinitialise le mot de passe depuis l'écran </w:t>
      </w:r>
      <w:r>
        <w:rPr>
          <w:b/>
        </w:rPr>
        <w:t xml:space="preserve">Utilisateurs</w:t>
      </w:r>
      <w:r>
        <w:t xml:space="preserve">.</w:t>
      </w:r>
    </w:p>
    <w:p>
      <w:pPr>
        <w:pStyle w:val="ListParagraph"/>
        <w:numPr>
          <w:ilvl w:val="0"/>
          <w:numId w:val="24"/>
        </w:numPr>
      </w:pPr>
      <w:r>
        <w:t xml:space="preserve">Sinon, la personne utilise </w:t>
      </w:r>
      <w:r>
        <w:rPr>
          <w:b/>
        </w:rPr>
        <w:t xml:space="preserve">Mot de passe oublié</w:t>
      </w:r>
      <w:r>
        <w:t xml:space="preserve"> sur la page de connexion ; le lien part à l'adresse e-mail du</w:t>
      </w:r>
      <w:r>
        <w:t xml:space="preserve"> </w:t>
      </w:r>
      <w:r>
        <w:t xml:space="preserve">compte.</w:t>
      </w:r>
    </w:p>
    <w:p>
      <w:pPr>
        <w:pStyle w:val="ListParagraph"/>
        <w:numPr>
          <w:ilvl w:val="0"/>
          <w:numId w:val="24"/>
        </w:numPr>
      </w:pPr>
      <w:r>
        <w:t xml:space="preserve">Sans serveur SMTP réglé, ce même e-mail est écrit dans le volume des fichiers déposés : affichez le plus récent pour</w:t>
      </w:r>
      <w:r>
        <w:t xml:space="preserve"> </w:t>
      </w:r>
      <w:r>
        <w:t xml:space="preserve">y lire le lien (valable une heure) :</w:t>
      </w:r>
    </w:p>
    <w:p>
      <w:pPr>
        <w:pStyle w:val="Code"/>
        <w:spacing w:after="160"/>
      </w:pPr>
      <w:r>
        <w:t xml:space="preserve">docker run --rm -v read-plateforme_app-donnees:/d:ro alpine:3.24 sh -c 'cat "$(ls -t /d/boite-envoi/*.eml | head -n 1)"'</w:t>
      </w:r>
    </w:p>
    <w:tbl>
      <w:tblPr>
        <w:tblW w:w="5000" w:type="pct"/>
        <w:tblCellMar>
          <w:top w:w="100" w:type="dxa"/>
          <w:left w:w="200" w:type="dxa"/>
          <w:bottom w:w="60" w:type="dxa"/>
          <w:right w:w="200" w:type="dxa"/>
        </w:tblCellMar>
      </w:tblPr>
      <w:tr>
        <w:trPr>
          <w:cantSplit/>
        </w:trPr>
        <w:tc>
          <w:tcPr>
            <w:tcW w:w="5000" w:type="pct"/>
            <w:tcBorders>
              <w:left w:val="single" w:color="0D5BD7" w:sz="24"/>
            </w:tcBorders>
            <w:shd w:val="clear" w:color="auto" w:fill="EEF4FF"/>
          </w:tcPr>
          <w:p>
            <w:pPr>
              <w:pStyle w:val="Encadre"/>
            </w:pPr>
            <w:r>
              <w:rPr>
                <w:b/>
                <w:color w:val="0D5BD7"/>
              </w:rPr>
              <w:t xml:space="preserve">Remarque</w:t>
            </w:r>
          </w:p>
          <w:p>
            <w:pPr>
              <w:pStyle w:val="Encadre"/>
            </w:pPr>
            <w:r>
              <w:t xml:space="preserve">Après 5 échecs de connexion, un compte est bloqué 15 minutes : attendre suffit. La réinitialisation du mot de passe</w:t>
            </w:r>
            <w:r>
              <w:t xml:space="preserve"> </w:t>
            </w:r>
            <w:r>
              <w:t xml:space="preserve">débloque aussi le compte.</w:t>
            </w:r>
          </w:p>
        </w:tc>
      </w:tr>
    </w:tbl>
    <w:p>
      <w:pPr>
        <w:spacing w:before="0" w:after="0"/>
      </w:pPr>
    </w:p>
    <w:p>
      <w:pPr/>
      <w:r>
        <w:rPr>
          <w:rStyle w:val="CodeCar"/>
        </w:rPr>
        <w:t xml:space="preserve">ADMIN_EMAIL</w:t>
      </w:r>
      <w:r>
        <w:t xml:space="preserve"> et </w:t>
      </w:r>
      <w:r>
        <w:rPr>
          <w:rStyle w:val="CodeCar"/>
        </w:rPr>
        <w:t xml:space="preserve">ADMIN_MOT_DE_PASSE</w:t>
      </w:r>
      <w:r>
        <w:t xml:space="preserve"> ne recréent un administrateur que s'il n'en existe </w:t>
      </w:r>
      <w:r>
        <w:rPr>
          <w:b/>
        </w:rPr>
        <w:t xml:space="preserve">aucun</w:t>
      </w:r>
      <w:r>
        <w:t xml:space="preserve"> : ils ne servent pas</w:t>
      </w:r>
      <w:r>
        <w:t xml:space="preserve"> </w:t>
      </w:r>
      <w:r>
        <w:t xml:space="preserve">à réinitialiser un compte existant.</w:t>
      </w:r>
    </w:p>
    <w:p>
      <w:pPr>
        <w:pStyle w:val="Heading2"/>
      </w:pPr>
      <w:bookmarkStart w:name="_s69" w:id="72"/>
      <w:r>
        <w:rPr>
          <w:color w:val="D9480F"/>
        </w:rPr>
        <w:t xml:space="preserve">9.8  </w:t>
      </w:r>
      <w:r>
        <w:t xml:space="preserve">Trop de requêtes (429) ou blocage d'un bureau entier</w:t>
      </w:r>
      <w:bookmarkEnd w:id="72"/>
    </w:p>
    <w:p>
      <w:pPr/>
      <w:r>
        <w:rPr>
          <w:b/>
        </w:rPr>
        <w:t xml:space="preserve">Symptôme.</w:t>
      </w:r>
      <w:r>
        <w:t xml:space="preserve"> Des utilisateurs reçoivent la page « Trop de tentatives » à la connexion.</w:t>
      </w:r>
    </w:p>
    <w:p>
      <w:pPr/>
      <w:r>
        <w:rPr>
          <w:b/>
        </w:rPr>
        <w:t xml:space="preserve">Diagnostic.</w:t>
      </w:r>
      <w:r>
        <w:t xml:space="preserve"> Plusieurs personnes derrière la même adresse IP publique (bureau, partage de connexion) partagent la</w:t>
      </w:r>
      <w:r>
        <w:t xml:space="preserve"> </w:t>
      </w:r>
      <w:r>
        <w:t xml:space="preserve">limite de 10 tentatives de connexion par minute.</w:t>
      </w:r>
    </w:p>
    <w:p>
      <w:pPr/>
      <w:r>
        <w:rPr>
          <w:b/>
        </w:rPr>
        <w:t xml:space="preserve">Solution.</w:t>
      </w:r>
      <w:r>
        <w:t xml:space="preserve"> Attendre une minute suffit. Si le cas est fréquent, augmentez </w:t>
      </w:r>
      <w:r>
        <w:rPr>
          <w:rStyle w:val="CodeCar"/>
        </w:rPr>
        <w:t xml:space="preserve">Securite__ConnexionsParMinute</w:t>
      </w:r>
      <w:r>
        <w:t xml:space="preserve"> </w:t>
      </w:r>
      <w:r>
        <w:t xml:space="preserve">(</w:t>
      </w:r>
      <w:hyperlink w:history="true" w:anchor="_s34">
        <w:r>
          <w:rPr>
            <w:rStyle w:val="Hyperlink"/>
          </w:rPr>
          <w:t xml:space="preserve">Réglages avancés</w:t>
        </w:r>
      </w:hyperlink>
      <w:r>
        <w:t xml:space="preserve">).</w:t>
      </w:r>
    </w:p>
    <w:p>
      <w:pPr>
        <w:pStyle w:val="Heading2"/>
      </w:pPr>
      <w:bookmarkStart w:name="_s70" w:id="73"/>
      <w:r>
        <w:rPr>
          <w:color w:val="D9480F"/>
        </w:rPr>
        <w:t xml:space="preserve">9.9  </w:t>
      </w:r>
      <w:r>
        <w:t xml:space="preserve">Toutes les adresses du journal d'audit sont identiques</w:t>
      </w:r>
      <w:bookmarkEnd w:id="73"/>
    </w:p>
    <w:p>
      <w:pPr/>
      <w:r>
        <w:rPr>
          <w:b/>
        </w:rPr>
        <w:t xml:space="preserve">Symptôme.</w:t>
      </w:r>
      <w:r>
        <w:t xml:space="preserve"> Le journal d'audit montre la même adresse IP pour tous les utilisateurs.</w:t>
      </w:r>
    </w:p>
    <w:p>
      <w:pPr/>
      <w:r>
        <w:rPr>
          <w:b/>
        </w:rPr>
        <w:t xml:space="preserve">Diagnostic.</w:t>
      </w:r>
      <w:r>
        <w:t xml:space="preserve"> Un relais placé devant Caddy (proxy ou CDN du gestionnaire DNS, répartiteur de charge de</w:t>
      </w:r>
      <w:r>
        <w:t xml:space="preserve"> </w:t>
      </w:r>
      <w:r>
        <w:t xml:space="preserve">l'hébergeur) masque l'adresse des clients.</w:t>
      </w:r>
    </w:p>
    <w:p>
      <w:pPr/>
      <w:r>
        <w:rPr>
          <w:b/>
        </w:rPr>
        <w:t xml:space="preserve">Solution.</w:t>
      </w:r>
      <w:r>
        <w:t xml:space="preserve"> Passez l'enregistrement DNS en « DNS seulement ». Si un relais est indispensable, l'équipe de</w:t>
      </w:r>
      <w:r>
        <w:t xml:space="preserve"> </w:t>
      </w:r>
      <w:r>
        <w:t xml:space="preserve">développement doit adapter Caddy et </w:t>
      </w:r>
      <w:r>
        <w:rPr>
          <w:rStyle w:val="CodeCar"/>
        </w:rPr>
        <w:t xml:space="preserve">Securite__ReseauxProxy</w:t>
      </w:r>
      <w:r>
        <w:t xml:space="preserve"> pour le reconnaître.</w:t>
      </w:r>
    </w:p>
    <w:p>
      <w:pPr>
        <w:pStyle w:val="Heading2"/>
      </w:pPr>
      <w:bookmarkStart w:name="_s71" w:id="74"/>
      <w:r>
        <w:rPr>
          <w:color w:val="D9480F"/>
        </w:rPr>
        <w:t xml:space="preserve">9.10  </w:t>
      </w:r>
      <w:r>
        <w:t xml:space="preserve">Une restauration d'essai échoue</w:t>
      </w:r>
      <w:bookmarkEnd w:id="74"/>
    </w:p>
    <w:p>
      <w:pPr/>
      <w:r>
        <w:rPr>
          <w:b/>
        </w:rPr>
        <w:t xml:space="preserve">Symptôme.</w:t>
      </w:r>
      <w:r>
        <w:t xml:space="preserve"> </w:t>
      </w:r>
      <w:r>
        <w:rPr>
          <w:rStyle w:val="CodeCar"/>
        </w:rPr>
        <w:t xml:space="preserve">restaurer.sh --essai</w:t>
      </w:r>
      <w:r>
        <w:t xml:space="preserve"> affiche </w:t>
      </w:r>
      <w:r>
        <w:rPr>
          <w:rStyle w:val="CodeCar"/>
        </w:rPr>
        <w:t xml:space="preserve">ÉCHEC</w:t>
      </w:r>
      <w:r>
        <w:t xml:space="preserve"> ou une erreur de contrôle des empreintes.</w:t>
      </w:r>
    </w:p>
    <w:p>
      <w:pPr/>
      <w:r>
        <w:rPr>
          <w:b/>
        </w:rPr>
        <w:t xml:space="preserve">Diagnostic.</w:t>
      </w:r>
    </w:p>
    <w:p>
      <w:pPr>
        <w:pStyle w:val="ListParagraph"/>
        <w:numPr>
          <w:ilvl w:val="0"/>
          <w:numId w:val="1"/>
        </w:numPr>
      </w:pPr>
      <w:r>
        <w:rPr>
          <w:rStyle w:val="CodeCar"/>
        </w:rPr>
        <w:t xml:space="preserve">sha256sum: WARNING … did NOT match</w:t>
      </w:r>
      <w:r>
        <w:t xml:space="preserve"> : un fichier de la sauvegarde est altéré ou incomplet (copie interrompue).</w:t>
      </w:r>
    </w:p>
    <w:p>
      <w:pPr>
        <w:pStyle w:val="ListParagraph"/>
        <w:numPr>
          <w:ilvl w:val="0"/>
          <w:numId w:val="1"/>
        </w:numPr>
      </w:pPr>
      <w:r>
        <w:t xml:space="preserve">Différences de comptes : la sauvegarde ou sa restauration est incomplète.</w:t>
      </w:r>
    </w:p>
    <w:p>
      <w:pPr/>
      <w:r>
        <w:rPr>
          <w:b/>
        </w:rPr>
        <w:t xml:space="preserve">Solution.</w:t>
      </w:r>
      <w:r>
        <w:t xml:space="preserve"> Essayez la sauvegarde de la veille ou la copie hors serveur ; si plusieurs sauvegardes échouent,</w:t>
      </w:r>
      <w:r>
        <w:t xml:space="preserve"> </w:t>
      </w:r>
      <w:r>
        <w:t xml:space="preserve">lancez une sauvegarde manuelle et observez son compte rendu (place disque, erreurs de </w:t>
      </w:r>
      <w:r>
        <w:rPr>
          <w:rStyle w:val="CodeCar"/>
        </w:rPr>
        <w:t xml:space="preserve">pg_dump</w:t>
      </w:r>
      <w:r>
        <w:t xml:space="preserve">). Ne faites jamais une</w:t>
      </w:r>
      <w:r>
        <w:t xml:space="preserve"> </w:t>
      </w:r>
      <w:r>
        <w:t xml:space="preserve">restauration réelle avec une sauvegarde dont l'essai a échoué.</w:t>
      </w:r>
    </w:p>
    <w:p>
      <w:pPr>
        <w:pStyle w:val="Heading2"/>
      </w:pPr>
      <w:bookmarkStart w:name="_s72" w:id="75"/>
      <w:r>
        <w:rPr>
          <w:color w:val="D9480F"/>
        </w:rPr>
        <w:t xml:space="preserve">9.11  </w:t>
      </w:r>
      <w:r>
        <w:t xml:space="preserve">Les utilisateurs voient une ancienne version du module hors ligne</w:t>
      </w:r>
      <w:bookmarkEnd w:id="75"/>
    </w:p>
    <w:p>
      <w:pPr/>
      <w:r>
        <w:rPr>
          <w:b/>
        </w:rPr>
        <w:t xml:space="preserve">Symptôme.</w:t>
      </w:r>
      <w:r>
        <w:t xml:space="preserve"> Après un déploiement, le module hors ligne d'un téléphone n'a pas les nouveautés.</w:t>
      </w:r>
    </w:p>
    <w:p>
      <w:pPr/>
      <w:r>
        <w:rPr>
          <w:b/>
        </w:rPr>
        <w:t xml:space="preserve">Solution.</w:t>
      </w:r>
      <w:r>
        <w:t xml:space="preserve"> Le module garde son application en cache pour fonctionner sans réseau. À la connexion suivante avec du</w:t>
      </w:r>
      <w:r>
        <w:t xml:space="preserve"> </w:t>
      </w:r>
      <w:r>
        <w:t xml:space="preserve">réseau, il détecte la nouvelle version et propose </w:t>
      </w:r>
      <w:r>
        <w:rPr>
          <w:b/>
        </w:rPr>
        <w:t xml:space="preserve">Mettre à jour</w:t>
      </w:r>
      <w:r>
        <w:t xml:space="preserve"> ; elle s'active aussi quand tous les onglets du</w:t>
      </w:r>
      <w:r>
        <w:t xml:space="preserve"> </w:t>
      </w:r>
      <w:r>
        <w:t xml:space="preserve">module sont fermés. Voir </w:t>
      </w:r>
      <w:hyperlink w:history="true" w:anchor="_s96">
        <w:r>
          <w:rPr>
            <w:rStyle w:val="Hyperlink"/>
          </w:rPr>
          <w:t xml:space="preserve">Mise à jour du module</w:t>
        </w:r>
      </w:hyperlink>
      <w:r>
        <w:t xml:space="preserve">.</w:t>
      </w:r>
    </w:p>
    <w:p>
      <w:pPr>
        <w:pStyle w:val="Surtitre"/>
      </w:pPr>
      <w:r>
        <w:t xml:space="preserve">CHAPITRE 10</w:t>
      </w:r>
    </w:p>
    <w:p>
      <w:pPr>
        <w:pStyle w:val="Heading1"/>
      </w:pPr>
      <w:bookmarkStart w:name="_s73" w:id="76"/>
      <w:r>
        <w:t xml:space="preserve">API et module hors ligne</w:t>
      </w:r>
      <w:bookmarkEnd w:id="76"/>
    </w:p>
    <w:p>
      <w:pPr>
        <w:pStyle w:val="Chapeau"/>
      </w:pPr>
      <w:r>
        <w:t xml:space="preserve">L'API REST sécurisée par jetons, ses durées et ses limites, et le fonctionnement du module hors ligne côté exploitation.</w:t>
      </w:r>
    </w:p>
    <w:p>
      <w:pPr>
        <w:pStyle w:val="Note"/>
      </w:pPr>
      <w:r>
        <w:t xml:space="preserve">Concerne : </w:t>
      </w:r>
      <w:r>
        <w:rPr>
          <w:b/>
        </w:rPr>
        <w:t xml:space="preserve">Équipe technique</w:t>
      </w:r>
    </w:p>
    <w:p>
      <w:pPr>
        <w:pStyle w:val="Heading2"/>
      </w:pPr>
      <w:bookmarkStart w:name="_s74" w:id="77"/>
      <w:r>
        <w:rPr>
          <w:color w:val="D9480F"/>
        </w:rPr>
        <w:t xml:space="preserve">10.1  </w:t>
      </w:r>
      <w:r>
        <w:t xml:space="preserve">L'API REST</w:t>
      </w:r>
      <w:bookmarkEnd w:id="77"/>
    </w:p>
    <w:p>
      <w:pPr/>
      <w:r>
        <w:t xml:space="preserve">La plateforme expose une API sous </w:t>
      </w:r>
      <w:r>
        <w:rPr>
          <w:rStyle w:val="CodeCar"/>
        </w:rPr>
        <w:t xml:space="preserve">/api/v1</w:t>
      </w:r>
      <w:r>
        <w:t xml:space="preserve">. Elle sert d'abord au module hors ligne, et peut servir à d'autres outils</w:t>
      </w:r>
      <w:r>
        <w:t xml:space="preserve"> </w:t>
      </w:r>
      <w:r>
        <w:t xml:space="preserve">de l'organisation. Elle passe par les mêmes services que le site, donc par les </w:t>
      </w:r>
      <w:r>
        <w:rPr>
          <w:b/>
        </w:rPr>
        <w:t xml:space="preserve">mêmes règles</w:t>
      </w:r>
      <w:r>
        <w:t xml:space="preserve"> : rôle du compte,</w:t>
      </w:r>
      <w:r>
        <w:t xml:space="preserve"> </w:t>
      </w:r>
      <w:r>
        <w:t xml:space="preserve">périmètre géographique, paramètre « saisie par les organisations », montants masqués selon le rôle.</w:t>
      </w:r>
    </w:p>
    <w:tbl>
      <w:tblPr>
        <w:tblW w:w="5000" w:type="pct"/>
        <w:tblBorders>
          <w:top w:val="single" w:color="DFE4EC" w:sz="4"/>
          <w:bottom w:val="single" w:color="DFE4EC" w:sz="4"/>
          <w:left w:val="nil"/>
          <w:right w:val="nil"/>
          <w:insideH w:val="single" w:color="DFE4EC" w:sz="4"/>
          <w:insideV w:val="nil"/>
        </w:tblBorders>
        <w:tblLayout w:type="fixed"/>
        <w:tblCellMar>
          <w:top w:w="50" w:type="dxa"/>
          <w:left w:w="100" w:type="dxa"/>
          <w:bottom w:w="50" w:type="dxa"/>
          <w:right w:w="100" w:type="dxa"/>
        </w:tblCellMar>
      </w:tblPr>
      <w:tblGrid>
        <w:gridCol w:w="1516"/>
        <w:gridCol w:w="8121"/>
      </w:tblGrid>
      <w:tr>
        <w:trPr>
          <w:cantSplit/>
          <w:tblHeader/>
        </w:trPr>
        <w:tc>
          <w:tcPr>
            <w:tcW w:w="1516" w:type="dxa"/>
            <w:shd w:val="clear" w:color="auto" w:fill="F4F6FA"/>
          </w:tcPr>
          <w:p>
            <w:pPr>
              <w:pStyle w:val="Tableau"/>
            </w:pPr>
            <w:r>
              <w:rPr>
                <w:b/>
              </w:rPr>
              <w:t xml:space="preserve">Réponse</w:t>
            </w:r>
          </w:p>
        </w:tc>
        <w:tc>
          <w:tcPr>
            <w:tcW w:w="8121" w:type="dxa"/>
            <w:shd w:val="clear" w:color="auto" w:fill="F4F6FA"/>
          </w:tcPr>
          <w:p>
            <w:pPr>
              <w:pStyle w:val="Tableau"/>
            </w:pPr>
            <w:r>
              <w:rPr>
                <w:b/>
              </w:rPr>
              <w:t xml:space="preserve">Signification</w:t>
            </w:r>
          </w:p>
        </w:tc>
      </w:tr>
      <w:tr>
        <w:trPr>
          <w:cantSplit/>
        </w:trPr>
        <w:tc>
          <w:tcPr>
            <w:tcW w:w="1516" w:type="dxa"/>
          </w:tcPr>
          <w:p>
            <w:pPr>
              <w:pStyle w:val="Tableau"/>
            </w:pPr>
            <w:r>
              <w:t xml:space="preserve">401</w:t>
            </w:r>
          </w:p>
        </w:tc>
        <w:tc>
          <w:tcPr>
            <w:tcW w:w="8121" w:type="dxa"/>
          </w:tcPr>
          <w:p>
            <w:pPr>
              <w:pStyle w:val="Tableau"/>
            </w:pPr>
            <w:r>
              <w:t xml:space="preserve">Jeton absent, expiré ou révoqué (compte désactivé, droits ou mot de passe changés, appareil déconnecté)</w:t>
            </w:r>
          </w:p>
        </w:tc>
      </w:tr>
      <w:tr>
        <w:trPr>
          <w:cantSplit/>
        </w:trPr>
        <w:tc>
          <w:tcPr>
            <w:tcW w:w="1516" w:type="dxa"/>
          </w:tcPr>
          <w:p>
            <w:pPr>
              <w:pStyle w:val="Tableau"/>
            </w:pPr>
            <w:r>
              <w:t xml:space="preserve">403</w:t>
            </w:r>
          </w:p>
        </w:tc>
        <w:tc>
          <w:tcPr>
            <w:tcW w:w="8121" w:type="dxa"/>
          </w:tcPr>
          <w:p>
            <w:pPr>
              <w:pStyle w:val="Tableau"/>
            </w:pPr>
            <w:r>
              <w:t xml:space="preserve">Action non autorisée pour ce compte ; mot de passe temporaire à changer d'abord sur le site</w:t>
            </w:r>
          </w:p>
        </w:tc>
      </w:tr>
      <w:tr>
        <w:trPr>
          <w:cantSplit/>
        </w:trPr>
        <w:tc>
          <w:tcPr>
            <w:tcW w:w="1516" w:type="dxa"/>
          </w:tcPr>
          <w:p>
            <w:pPr>
              <w:pStyle w:val="Tableau"/>
            </w:pPr>
            <w:r>
              <w:t xml:space="preserve">404</w:t>
            </w:r>
          </w:p>
        </w:tc>
        <w:tc>
          <w:tcPr>
            <w:tcW w:w="8121" w:type="dxa"/>
          </w:tcPr>
          <w:p>
            <w:pPr>
              <w:pStyle w:val="Tableau"/>
            </w:pPr>
            <w:r>
              <w:t xml:space="preserve">Donnée hors du périmètre du compte, ou inexistante</w:t>
            </w:r>
          </w:p>
        </w:tc>
      </w:tr>
      <w:tr>
        <w:trPr>
          <w:cantSplit/>
        </w:trPr>
        <w:tc>
          <w:tcPr>
            <w:tcW w:w="1516" w:type="dxa"/>
          </w:tcPr>
          <w:p>
            <w:pPr>
              <w:pStyle w:val="Tableau"/>
            </w:pPr>
            <w:r>
              <w:t xml:space="preserve">409</w:t>
            </w:r>
          </w:p>
        </w:tc>
        <w:tc>
          <w:tcPr>
            <w:tcW w:w="8121" w:type="dxa"/>
          </w:tcPr>
          <w:p>
            <w:pPr>
              <w:pStyle w:val="Tableau"/>
            </w:pPr>
            <w:r>
              <w:t xml:space="preserve">Donnée modifiée entre-temps par quelqu'un d'autre</w:t>
            </w:r>
          </w:p>
        </w:tc>
      </w:tr>
      <w:tr>
        <w:trPr>
          <w:cantSplit/>
        </w:trPr>
        <w:tc>
          <w:tcPr>
            <w:tcW w:w="1516" w:type="dxa"/>
          </w:tcPr>
          <w:p>
            <w:pPr>
              <w:pStyle w:val="Tableau"/>
            </w:pPr>
            <w:r>
              <w:t xml:space="preserve">429</w:t>
            </w:r>
          </w:p>
        </w:tc>
        <w:tc>
          <w:tcPr>
            <w:tcW w:w="8121" w:type="dxa"/>
          </w:tcPr>
          <w:p>
            <w:pPr>
              <w:pStyle w:val="Tableau"/>
            </w:pPr>
            <w:r>
              <w:t xml:space="preserve">Trop d'appels depuis la même adresse IP</w:t>
            </w:r>
          </w:p>
        </w:tc>
      </w:tr>
    </w:tbl>
    <w:p>
      <w:pPr>
        <w:spacing w:before="0" w:after="0"/>
      </w:pPr>
    </w:p>
    <w:p>
      <w:pPr/>
      <w:r>
        <w:t xml:space="preserve">Les erreurs sont au format </w:t>
      </w:r>
      <w:r>
        <w:rPr>
          <w:rStyle w:val="CodeCar"/>
        </w:rPr>
        <w:t xml:space="preserve">ProblemDetails</w:t>
      </w:r>
      <w:r>
        <w:t xml:space="preserve"> (JSON) ; les énumérations sont écrites en texte (par exemple </w:t>
      </w:r>
      <w:r>
        <w:rPr>
          <w:rStyle w:val="CodeCar"/>
        </w:rPr>
        <w:t xml:space="preserve">"Realisee"</w:t>
      </w:r>
      <w:r>
        <w:t xml:space="preserve">).</w:t>
      </w:r>
    </w:p>
    <w:p>
      <w:pPr>
        <w:pStyle w:val="Heading3"/>
      </w:pPr>
      <w:bookmarkStart w:name="_s97" w:id="78"/>
      <w:r>
        <w:rPr>
          <w:color w:val="556072"/>
        </w:rPr>
        <w:t xml:space="preserve">10.1.1  </w:t>
      </w:r>
      <w:r>
        <w:t xml:space="preserve">Points d'accès</w:t>
      </w:r>
      <w:bookmarkEnd w:id="78"/>
    </w:p>
    <w:tbl>
      <w:tblPr>
        <w:tblW w:w="5000" w:type="pct"/>
        <w:tblBorders>
          <w:top w:val="single" w:color="DFE4EC" w:sz="4"/>
          <w:bottom w:val="single" w:color="DFE4EC" w:sz="4"/>
          <w:left w:val="nil"/>
          <w:right w:val="nil"/>
          <w:insideH w:val="single" w:color="DFE4EC" w:sz="4"/>
          <w:insideV w:val="nil"/>
        </w:tblBorders>
        <w:tblLayout w:type="fixed"/>
        <w:tblCellMar>
          <w:top w:w="50" w:type="dxa"/>
          <w:left w:w="100" w:type="dxa"/>
          <w:bottom w:w="50" w:type="dxa"/>
          <w:right w:w="100" w:type="dxa"/>
        </w:tblCellMar>
      </w:tblPr>
      <w:tblGrid>
        <w:gridCol w:w="3942"/>
        <w:gridCol w:w="1029"/>
        <w:gridCol w:w="4666"/>
      </w:tblGrid>
      <w:tr>
        <w:trPr>
          <w:cantSplit/>
          <w:tblHeader/>
        </w:trPr>
        <w:tc>
          <w:tcPr>
            <w:tcW w:w="3942" w:type="dxa"/>
            <w:shd w:val="clear" w:color="auto" w:fill="F4F6FA"/>
          </w:tcPr>
          <w:p>
            <w:pPr>
              <w:pStyle w:val="Tableau"/>
            </w:pPr>
            <w:r>
              <w:rPr>
                <w:b/>
              </w:rPr>
              <w:t xml:space="preserve">Route</w:t>
            </w:r>
          </w:p>
        </w:tc>
        <w:tc>
          <w:tcPr>
            <w:tcW w:w="1029" w:type="dxa"/>
            <w:shd w:val="clear" w:color="auto" w:fill="F4F6FA"/>
          </w:tcPr>
          <w:p>
            <w:pPr>
              <w:pStyle w:val="Tableau"/>
            </w:pPr>
            <w:r>
              <w:rPr>
                <w:b/>
              </w:rPr>
              <w:t xml:space="preserve">Méthodes</w:t>
            </w:r>
          </w:p>
        </w:tc>
        <w:tc>
          <w:tcPr>
            <w:tcW w:w="4666" w:type="dxa"/>
            <w:shd w:val="clear" w:color="auto" w:fill="F4F6FA"/>
          </w:tcPr>
          <w:p>
            <w:pPr>
              <w:pStyle w:val="Tableau"/>
            </w:pPr>
            <w:r>
              <w:rPr>
                <w:b/>
              </w:rPr>
              <w:t xml:space="preserve">Usage</w:t>
            </w:r>
          </w:p>
        </w:tc>
      </w:tr>
      <w:tr>
        <w:trPr>
          <w:cantSplit/>
        </w:trPr>
        <w:tc>
          <w:tcPr>
            <w:tcW w:w="3942" w:type="dxa"/>
          </w:tcPr>
          <w:p>
            <w:pPr>
              <w:pStyle w:val="Tableau"/>
            </w:pPr>
            <w:r>
              <w:rPr>
                <w:rStyle w:val="CodeCar"/>
              </w:rPr>
              <w:t xml:space="preserve">/api/v1/jetons</w:t>
            </w:r>
          </w:p>
        </w:tc>
        <w:tc>
          <w:tcPr>
            <w:tcW w:w="1029" w:type="dxa"/>
          </w:tcPr>
          <w:p>
            <w:pPr>
              <w:pStyle w:val="Tableau"/>
            </w:pPr>
            <w:r>
              <w:t xml:space="preserve">POST</w:t>
            </w:r>
          </w:p>
        </w:tc>
        <w:tc>
          <w:tcPr>
            <w:tcW w:w="4666" w:type="dxa"/>
          </w:tcPr>
          <w:p>
            <w:pPr>
              <w:pStyle w:val="Tableau"/>
            </w:pPr>
            <w:r>
              <w:t xml:space="preserve">Connexion : jeton d'accès et jeton de renouvellement</w:t>
            </w:r>
          </w:p>
        </w:tc>
      </w:tr>
      <w:tr>
        <w:trPr>
          <w:cantSplit/>
        </w:trPr>
        <w:tc>
          <w:tcPr>
            <w:tcW w:w="3942" w:type="dxa"/>
          </w:tcPr>
          <w:p>
            <w:pPr>
              <w:pStyle w:val="Tableau"/>
            </w:pPr>
            <w:r>
              <w:rPr>
                <w:rStyle w:val="CodeCar"/>
              </w:rPr>
              <w:t xml:space="preserve">/api/v1/jetons/renouveler</w:t>
            </w:r>
          </w:p>
        </w:tc>
        <w:tc>
          <w:tcPr>
            <w:tcW w:w="1029" w:type="dxa"/>
          </w:tcPr>
          <w:p>
            <w:pPr>
              <w:pStyle w:val="Tableau"/>
            </w:pPr>
            <w:r>
              <w:t xml:space="preserve">POST</w:t>
            </w:r>
          </w:p>
        </w:tc>
        <w:tc>
          <w:tcPr>
            <w:tcW w:w="4666" w:type="dxa"/>
          </w:tcPr>
          <w:p>
            <w:pPr>
              <w:pStyle w:val="Tableau"/>
            </w:pPr>
            <w:r>
              <w:t xml:space="preserve">Nouveau couple de jetons ; le jeton présenté ne sert plus</w:t>
            </w:r>
          </w:p>
        </w:tc>
      </w:tr>
      <w:tr>
        <w:trPr>
          <w:cantSplit/>
        </w:trPr>
        <w:tc>
          <w:tcPr>
            <w:tcW w:w="3942" w:type="dxa"/>
          </w:tcPr>
          <w:p>
            <w:pPr>
              <w:pStyle w:val="Tableau"/>
            </w:pPr>
            <w:r>
              <w:rPr>
                <w:rStyle w:val="CodeCar"/>
              </w:rPr>
              <w:t xml:space="preserve">/api/v1/jetons/revoquer</w:t>
            </w:r>
          </w:p>
        </w:tc>
        <w:tc>
          <w:tcPr>
            <w:tcW w:w="1029" w:type="dxa"/>
          </w:tcPr>
          <w:p>
            <w:pPr>
              <w:pStyle w:val="Tableau"/>
            </w:pPr>
            <w:r>
              <w:t xml:space="preserve">POST</w:t>
            </w:r>
          </w:p>
        </w:tc>
        <w:tc>
          <w:tcPr>
            <w:tcW w:w="4666" w:type="dxa"/>
          </w:tcPr>
          <w:p>
            <w:pPr>
              <w:pStyle w:val="Tableau"/>
            </w:pPr>
            <w:r>
              <w:t xml:space="preserve">Déconnexion de l'appareil</w:t>
            </w:r>
          </w:p>
        </w:tc>
      </w:tr>
      <w:tr>
        <w:trPr>
          <w:cantSplit/>
        </w:trPr>
        <w:tc>
          <w:tcPr>
            <w:tcW w:w="3942" w:type="dxa"/>
          </w:tcPr>
          <w:p>
            <w:pPr>
              <w:pStyle w:val="Tableau"/>
            </w:pPr>
            <w:r>
              <w:rPr>
                <w:rStyle w:val="CodeCar"/>
              </w:rPr>
              <w:t xml:space="preserve">/api/v1/moi</w:t>
            </w:r>
          </w:p>
        </w:tc>
        <w:tc>
          <w:tcPr>
            <w:tcW w:w="1029" w:type="dxa"/>
          </w:tcPr>
          <w:p>
            <w:pPr>
              <w:pStyle w:val="Tableau"/>
            </w:pPr>
            <w:r>
              <w:t xml:space="preserve">GET</w:t>
            </w:r>
          </w:p>
        </w:tc>
        <w:tc>
          <w:tcPr>
            <w:tcW w:w="4666" w:type="dxa"/>
          </w:tcPr>
          <w:p>
            <w:pPr>
              <w:pStyle w:val="Tableau"/>
            </w:pPr>
            <w:r>
              <w:t xml:space="preserve">Profil du compte connecté</w:t>
            </w:r>
          </w:p>
        </w:tc>
      </w:tr>
      <w:tr>
        <w:trPr>
          <w:cantSplit/>
        </w:trPr>
        <w:tc>
          <w:tcPr>
            <w:tcW w:w="3942" w:type="dxa"/>
          </w:tcPr>
          <w:p>
            <w:pPr>
              <w:pStyle w:val="Tableau"/>
            </w:pPr>
            <w:r>
              <w:rPr>
                <w:rStyle w:val="CodeCar"/>
              </w:rPr>
              <w:t xml:space="preserve">/api/v1/referentiels</w:t>
            </w:r>
          </w:p>
        </w:tc>
        <w:tc>
          <w:tcPr>
            <w:tcW w:w="1029" w:type="dxa"/>
          </w:tcPr>
          <w:p>
            <w:pPr>
              <w:pStyle w:val="Tableau"/>
            </w:pPr>
            <w:r>
              <w:t xml:space="preserve">GET</w:t>
            </w:r>
          </w:p>
        </w:tc>
        <w:tc>
          <w:tcPr>
            <w:tcW w:w="4666" w:type="dxa"/>
          </w:tcPr>
          <w:p>
            <w:pPr>
              <w:pStyle w:val="Tableau"/>
            </w:pPr>
            <w:r>
              <w:t xml:space="preserve">Listes de saisie</w:t>
            </w:r>
          </w:p>
        </w:tc>
      </w:tr>
      <w:tr>
        <w:trPr>
          <w:cantSplit/>
        </w:trPr>
        <w:tc>
          <w:tcPr>
            <w:tcW w:w="3942" w:type="dxa"/>
          </w:tcPr>
          <w:p>
            <w:pPr>
              <w:pStyle w:val="Tableau"/>
            </w:pPr>
            <w:r>
              <w:rPr>
                <w:rStyle w:val="CodeCar"/>
              </w:rPr>
              <w:t xml:space="preserve">/api/v1/organisations</w:t>
            </w:r>
            <w:r>
              <w:t xml:space="preserve">, </w:t>
            </w:r>
            <w:r>
              <w:rPr>
                <w:rStyle w:val="CodeCar"/>
              </w:rPr>
              <w:t xml:space="preserve">/api/v1/organisations/{id}</w:t>
            </w:r>
          </w:p>
        </w:tc>
        <w:tc>
          <w:tcPr>
            <w:tcW w:w="1029" w:type="dxa"/>
          </w:tcPr>
          <w:p>
            <w:pPr>
              <w:pStyle w:val="Tableau"/>
            </w:pPr>
            <w:r>
              <w:t xml:space="preserve">GET</w:t>
            </w:r>
          </w:p>
        </w:tc>
        <w:tc>
          <w:tcPr>
            <w:tcW w:w="4666" w:type="dxa"/>
          </w:tcPr>
          <w:p>
            <w:pPr>
              <w:pStyle w:val="Tableau"/>
            </w:pPr>
            <w:r>
              <w:t xml:space="preserve">Organisations visibles</w:t>
            </w:r>
          </w:p>
        </w:tc>
      </w:tr>
      <w:tr>
        <w:trPr>
          <w:cantSplit/>
        </w:trPr>
        <w:tc>
          <w:tcPr>
            <w:tcW w:w="3942" w:type="dxa"/>
          </w:tcPr>
          <w:p>
            <w:pPr>
              <w:pStyle w:val="Tableau"/>
            </w:pPr>
            <w:r>
              <w:rPr>
                <w:rStyle w:val="CodeCar"/>
              </w:rPr>
              <w:t xml:space="preserve">/api/v1/activites</w:t>
            </w:r>
          </w:p>
        </w:tc>
        <w:tc>
          <w:tcPr>
            <w:tcW w:w="1029" w:type="dxa"/>
          </w:tcPr>
          <w:p>
            <w:pPr>
              <w:pStyle w:val="Tableau"/>
            </w:pPr>
            <w:r>
              <w:t xml:space="preserve">GET, POST</w:t>
            </w:r>
          </w:p>
        </w:tc>
        <w:tc>
          <w:tcPr>
            <w:tcW w:w="4666" w:type="dxa"/>
          </w:tcPr>
          <w:p>
            <w:pPr>
              <w:pStyle w:val="Tableau"/>
            </w:pPr>
            <w:r>
              <w:t xml:space="preserve">Liste filtrée et paginée ; planification</w:t>
            </w:r>
          </w:p>
        </w:tc>
      </w:tr>
      <w:tr>
        <w:trPr>
          <w:cantSplit/>
        </w:trPr>
        <w:tc>
          <w:tcPr>
            <w:tcW w:w="3942" w:type="dxa"/>
          </w:tcPr>
          <w:p>
            <w:pPr>
              <w:pStyle w:val="Tableau"/>
            </w:pPr>
            <w:r>
              <w:rPr>
                <w:rStyle w:val="CodeCar"/>
              </w:rPr>
              <w:t xml:space="preserve">/api/v1/activites/a-rapporter</w:t>
            </w:r>
          </w:p>
        </w:tc>
        <w:tc>
          <w:tcPr>
            <w:tcW w:w="1029" w:type="dxa"/>
          </w:tcPr>
          <w:p>
            <w:pPr>
              <w:pStyle w:val="Tableau"/>
            </w:pPr>
            <w:r>
              <w:t xml:space="preserve">GET</w:t>
            </w:r>
          </w:p>
        </w:tc>
        <w:tc>
          <w:tcPr>
            <w:tcW w:w="4666" w:type="dxa"/>
          </w:tcPr>
          <w:p>
            <w:pPr>
              <w:pStyle w:val="Tableau"/>
            </w:pPr>
            <w:r>
              <w:t xml:space="preserve">Activités pour lesquelles le compte peut saisir un rapport</w:t>
            </w:r>
          </w:p>
        </w:tc>
      </w:tr>
      <w:tr>
        <w:trPr>
          <w:cantSplit/>
        </w:trPr>
        <w:tc>
          <w:tcPr>
            <w:tcW w:w="3942" w:type="dxa"/>
          </w:tcPr>
          <w:p>
            <w:pPr>
              <w:pStyle w:val="Tableau"/>
            </w:pPr>
            <w:r>
              <w:rPr>
                <w:rStyle w:val="CodeCar"/>
              </w:rPr>
              <w:t xml:space="preserve">/api/v1/activites/{id}</w:t>
            </w:r>
          </w:p>
        </w:tc>
        <w:tc>
          <w:tcPr>
            <w:tcW w:w="1029" w:type="dxa"/>
          </w:tcPr>
          <w:p>
            <w:pPr>
              <w:pStyle w:val="Tableau"/>
            </w:pPr>
            <w:r>
              <w:t xml:space="preserve">GET, PUT</w:t>
            </w:r>
          </w:p>
        </w:tc>
        <w:tc>
          <w:tcPr>
            <w:tcW w:w="4666" w:type="dxa"/>
          </w:tcPr>
          <w:p>
            <w:pPr>
              <w:pStyle w:val="Tableau"/>
            </w:pPr>
            <w:r>
              <w:t xml:space="preserve">Fiche, modification</w:t>
            </w:r>
          </w:p>
        </w:tc>
      </w:tr>
      <w:tr>
        <w:trPr>
          <w:cantSplit/>
        </w:trPr>
        <w:tc>
          <w:tcPr>
            <w:tcW w:w="3942" w:type="dxa"/>
          </w:tcPr>
          <w:p>
            <w:pPr>
              <w:pStyle w:val="Tableau"/>
            </w:pPr>
            <w:r>
              <w:rPr>
                <w:rStyle w:val="CodeCar"/>
              </w:rPr>
              <w:t xml:space="preserve">/api/v1/activites/{id}/statut</w:t>
            </w:r>
          </w:p>
        </w:tc>
        <w:tc>
          <w:tcPr>
            <w:tcW w:w="1029" w:type="dxa"/>
          </w:tcPr>
          <w:p>
            <w:pPr>
              <w:pStyle w:val="Tableau"/>
            </w:pPr>
            <w:r>
              <w:t xml:space="preserve">PUT</w:t>
            </w:r>
          </w:p>
        </w:tc>
        <w:tc>
          <w:tcPr>
            <w:tcW w:w="4666" w:type="dxa"/>
          </w:tcPr>
          <w:p>
            <w:pPr>
              <w:pStyle w:val="Tableau"/>
            </w:pPr>
            <w:r>
              <w:t xml:space="preserve">Avancement</w:t>
            </w:r>
          </w:p>
        </w:tc>
      </w:tr>
      <w:tr>
        <w:trPr>
          <w:cantSplit/>
        </w:trPr>
        <w:tc>
          <w:tcPr>
            <w:tcW w:w="3942" w:type="dxa"/>
          </w:tcPr>
          <w:p>
            <w:pPr>
              <w:pStyle w:val="Tableau"/>
            </w:pPr>
            <w:r>
              <w:rPr>
                <w:rStyle w:val="CodeCar"/>
              </w:rPr>
              <w:t xml:space="preserve">/api/v1/rapports</w:t>
            </w:r>
          </w:p>
        </w:tc>
        <w:tc>
          <w:tcPr>
            <w:tcW w:w="1029" w:type="dxa"/>
          </w:tcPr>
          <w:p>
            <w:pPr>
              <w:pStyle w:val="Tableau"/>
            </w:pPr>
            <w:r>
              <w:t xml:space="preserve">GET, POST</w:t>
            </w:r>
          </w:p>
        </w:tc>
        <w:tc>
          <w:tcPr>
            <w:tcW w:w="4666" w:type="dxa"/>
          </w:tcPr>
          <w:p>
            <w:pPr>
              <w:pStyle w:val="Tableau"/>
            </w:pPr>
            <w:r>
              <w:t xml:space="preserve">Liste ; saisie (brouillon, soumission ou validation)</w:t>
            </w:r>
          </w:p>
        </w:tc>
      </w:tr>
      <w:tr>
        <w:trPr>
          <w:cantSplit/>
        </w:trPr>
        <w:tc>
          <w:tcPr>
            <w:tcW w:w="3942" w:type="dxa"/>
          </w:tcPr>
          <w:p>
            <w:pPr>
              <w:pStyle w:val="Tableau"/>
            </w:pPr>
            <w:r>
              <w:rPr>
                <w:rStyle w:val="CodeCar"/>
              </w:rPr>
              <w:t xml:space="preserve">/api/v1/rapports/{id}</w:t>
            </w:r>
          </w:p>
        </w:tc>
        <w:tc>
          <w:tcPr>
            <w:tcW w:w="1029" w:type="dxa"/>
          </w:tcPr>
          <w:p>
            <w:pPr>
              <w:pStyle w:val="Tableau"/>
            </w:pPr>
            <w:r>
              <w:t xml:space="preserve">GET, PUT</w:t>
            </w:r>
          </w:p>
        </w:tc>
        <w:tc>
          <w:tcPr>
            <w:tcW w:w="4666" w:type="dxa"/>
          </w:tcPr>
          <w:p>
            <w:pPr>
              <w:pStyle w:val="Tableau"/>
            </w:pPr>
            <w:r>
              <w:t xml:space="preserve">Fiche, correction</w:t>
            </w:r>
          </w:p>
        </w:tc>
      </w:tr>
      <w:tr>
        <w:trPr>
          <w:cantSplit/>
        </w:trPr>
        <w:tc>
          <w:tcPr>
            <w:tcW w:w="3942" w:type="dxa"/>
          </w:tcPr>
          <w:p>
            <w:pPr>
              <w:pStyle w:val="Tableau"/>
            </w:pPr>
            <w:r>
              <w:rPr>
                <w:rStyle w:val="CodeCar"/>
              </w:rPr>
              <w:t xml:space="preserve">/api/v1/rapports/{id}/renvoi</w:t>
            </w:r>
          </w:p>
        </w:tc>
        <w:tc>
          <w:tcPr>
            <w:tcW w:w="1029" w:type="dxa"/>
          </w:tcPr>
          <w:p>
            <w:pPr>
              <w:pStyle w:val="Tableau"/>
            </w:pPr>
            <w:r>
              <w:t xml:space="preserve">POST</w:t>
            </w:r>
          </w:p>
        </w:tc>
        <w:tc>
          <w:tcPr>
            <w:tcW w:w="4666" w:type="dxa"/>
          </w:tcPr>
          <w:p>
            <w:pPr>
              <w:pStyle w:val="Tableau"/>
            </w:pPr>
            <w:r>
              <w:t xml:space="preserve">Renvoi d'un rapport à l'organisation (gestion)</w:t>
            </w:r>
          </w:p>
        </w:tc>
      </w:tr>
    </w:tbl>
    <w:p>
      <w:pPr>
        <w:spacing w:before="0" w:after="0"/>
      </w:pPr>
    </w:p>
    <w:p>
      <w:pPr/>
      <w:r>
        <w:t xml:space="preserve">La description complète (OpenAPI) est servie sur </w:t>
      </w:r>
      <w:r>
        <w:rPr>
          <w:rStyle w:val="CodeCar"/>
        </w:rPr>
        <w:t xml:space="preserve">/api/v1/openapi.json</w:t>
      </w:r>
      <w:r>
        <w:t xml:space="preserve">, aux comptes connectés seulement (par le site</w:t>
      </w:r>
      <w:r>
        <w:t xml:space="preserve"> </w:t>
      </w:r>
      <w:r>
        <w:t xml:space="preserve">ou par jeton).</w:t>
      </w:r>
    </w:p>
    <w:p>
      <w:pPr>
        <w:pStyle w:val="Heading3"/>
      </w:pPr>
      <w:bookmarkStart w:name="_s98" w:id="79"/>
      <w:r>
        <w:rPr>
          <w:color w:val="556072"/>
        </w:rPr>
        <w:t xml:space="preserve">10.1.2  </w:t>
      </w:r>
      <w:r>
        <w:t xml:space="preserve">Jetons</w:t>
      </w:r>
      <w:bookmarkEnd w:id="79"/>
    </w:p>
    <w:p>
      <w:pPr>
        <w:pStyle w:val="ListParagraph"/>
        <w:numPr>
          <w:ilvl w:val="0"/>
          <w:numId w:val="25"/>
        </w:numPr>
      </w:pPr>
      <w:r>
        <w:t xml:space="preserve">Le client obtient ses jetons par </w:t>
      </w:r>
      <w:r>
        <w:rPr>
          <w:rStyle w:val="CodeCar"/>
        </w:rPr>
        <w:t xml:space="preserve">POST /api/v1/jetons</w:t>
      </w:r>
      <w:r>
        <w:t xml:space="preserve"> avec l'identifiant et le mot de passe d'un compte :</w:t>
      </w:r>
    </w:p>
    <w:p>
      <w:pPr>
        <w:pStyle w:val="Code"/>
        <w:spacing w:after="160"/>
      </w:pPr>
      <w:r>
        <w:t xml:space="preserve">{ "identifiant": "personne@example.org", "motDePasse": "…", "appareil": "Téléphone de terrain 3" }</w:t>
      </w:r>
    </w:p>
    <w:p>
      <w:pPr>
        <w:pStyle w:val="ListParagraph"/>
        <w:numPr>
          <w:ilvl w:val="0"/>
          <w:numId w:val="25"/>
        </w:numPr>
      </w:pPr>
      <w:r>
        <w:t xml:space="preserve">Il reçoit un </w:t>
      </w:r>
      <w:r>
        <w:rPr>
          <w:b/>
        </w:rPr>
        <w:t xml:space="preserve">jeton d'accès</w:t>
      </w:r>
      <w:r>
        <w:t xml:space="preserve"> (</w:t>
      </w:r>
      <w:r>
        <w:rPr>
          <w:rStyle w:val="CodeCar"/>
        </w:rPr>
        <w:t xml:space="preserve">jetonAcces</w:t>
      </w:r>
      <w:r>
        <w:t xml:space="preserve">, valable </w:t>
      </w:r>
      <w:r>
        <w:rPr>
          <w:rStyle w:val="CodeCar"/>
        </w:rPr>
        <w:t xml:space="preserve">expireDansSecondes</w:t>
      </w:r>
      <w:r>
        <w:t xml:space="preserve">) à présenter dans l'en-tête</w:t>
      </w:r>
      <w:r>
        <w:t xml:space="preserve"> </w:t>
      </w:r>
      <w:r>
        <w:rPr>
          <w:rStyle w:val="CodeCar"/>
        </w:rPr>
        <w:t xml:space="preserve">Authorization: Bearer &lt;jeton&gt;</w:t>
      </w:r>
      <w:r>
        <w:t xml:space="preserve">, et un </w:t>
      </w:r>
      <w:r>
        <w:rPr>
          <w:b/>
        </w:rPr>
        <w:t xml:space="preserve">jeton de renouvellement</w:t>
      </w:r>
      <w:r>
        <w:t xml:space="preserve"> (</w:t>
      </w:r>
      <w:r>
        <w:rPr>
          <w:rStyle w:val="CodeCar"/>
        </w:rPr>
        <w:t xml:space="preserve">jetonRenouvellement</w:t>
      </w:r>
      <w:r>
        <w:t xml:space="preserve">, valable jusqu'à</w:t>
      </w:r>
      <w:r>
        <w:t xml:space="preserve"> </w:t>
      </w:r>
      <w:r>
        <w:rPr>
          <w:rStyle w:val="CodeCar"/>
        </w:rPr>
        <w:t xml:space="preserve">renouvellementExpireLe</w:t>
      </w:r>
      <w:r>
        <w:t xml:space="preserve">).</w:t>
      </w:r>
    </w:p>
    <w:p>
      <w:pPr>
        <w:pStyle w:val="ListParagraph"/>
        <w:numPr>
          <w:ilvl w:val="0"/>
          <w:numId w:val="25"/>
        </w:numPr>
      </w:pPr>
      <w:r>
        <w:t xml:space="preserve">Avant l'expiration du jeton d'accès, il échange le jeton de renouvellement contre un nouveau couple</w:t>
      </w:r>
      <w:r>
        <w:t xml:space="preserve"> </w:t>
      </w:r>
      <w:r>
        <w:t xml:space="preserve">(</w:t>
      </w:r>
      <w:r>
        <w:rPr>
          <w:rStyle w:val="CodeCar"/>
        </w:rPr>
        <w:t xml:space="preserve">/api/v1/jetons/renouveler</w:t>
      </w:r>
      <w:r>
        <w:t xml:space="preserve">).</w:t>
      </w:r>
    </w:p>
    <w:tbl>
      <w:tblPr>
        <w:tblW w:w="5000" w:type="pct"/>
        <w:tblBorders>
          <w:top w:val="single" w:color="DFE4EC" w:sz="4"/>
          <w:bottom w:val="single" w:color="DFE4EC" w:sz="4"/>
          <w:left w:val="nil"/>
          <w:right w:val="nil"/>
          <w:insideH w:val="single" w:color="DFE4EC" w:sz="4"/>
          <w:insideV w:val="nil"/>
        </w:tblBorders>
        <w:tblLayout w:type="fixed"/>
        <w:tblCellMar>
          <w:top w:w="50" w:type="dxa"/>
          <w:left w:w="100" w:type="dxa"/>
          <w:bottom w:w="50" w:type="dxa"/>
          <w:right w:w="100" w:type="dxa"/>
        </w:tblCellMar>
      </w:tblPr>
      <w:tblGrid>
        <w:gridCol w:w="4604"/>
        <w:gridCol w:w="1349"/>
        <w:gridCol w:w="3683"/>
      </w:tblGrid>
      <w:tr>
        <w:trPr>
          <w:cantSplit/>
          <w:tblHeader/>
        </w:trPr>
        <w:tc>
          <w:tcPr>
            <w:tcW w:w="4604" w:type="dxa"/>
            <w:shd w:val="clear" w:color="auto" w:fill="F4F6FA"/>
          </w:tcPr>
          <w:p>
            <w:pPr>
              <w:pStyle w:val="Tableau"/>
            </w:pPr>
            <w:r>
              <w:rPr>
                <w:b/>
              </w:rPr>
              <w:t xml:space="preserve">Règle</w:t>
            </w:r>
          </w:p>
        </w:tc>
        <w:tc>
          <w:tcPr>
            <w:tcW w:w="1349" w:type="dxa"/>
            <w:shd w:val="clear" w:color="auto" w:fill="F4F6FA"/>
          </w:tcPr>
          <w:p>
            <w:pPr>
              <w:pStyle w:val="Tableau"/>
            </w:pPr>
            <w:r>
              <w:rPr>
                <w:b/>
              </w:rPr>
              <w:t xml:space="preserve">Valeur par défaut</w:t>
            </w:r>
          </w:p>
        </w:tc>
        <w:tc>
          <w:tcPr>
            <w:tcW w:w="3683" w:type="dxa"/>
            <w:shd w:val="clear" w:color="auto" w:fill="F4F6FA"/>
          </w:tcPr>
          <w:p>
            <w:pPr>
              <w:pStyle w:val="Tableau"/>
            </w:pPr>
            <w:r>
              <w:rPr>
                <w:b/>
              </w:rPr>
              <w:t xml:space="preserve">Réglage</w:t>
            </w:r>
          </w:p>
        </w:tc>
      </w:tr>
      <w:tr>
        <w:trPr>
          <w:cantSplit/>
        </w:trPr>
        <w:tc>
          <w:tcPr>
            <w:tcW w:w="4604" w:type="dxa"/>
          </w:tcPr>
          <w:p>
            <w:pPr>
              <w:pStyle w:val="Tableau"/>
            </w:pPr>
            <w:r>
              <w:t xml:space="preserve">Durée du jeton d'accès</w:t>
            </w:r>
          </w:p>
        </w:tc>
        <w:tc>
          <w:tcPr>
            <w:tcW w:w="1349" w:type="dxa"/>
          </w:tcPr>
          <w:p>
            <w:pPr>
              <w:pStyle w:val="Tableau"/>
            </w:pPr>
            <w:r>
              <w:t xml:space="preserve">30 minutes</w:t>
            </w:r>
          </w:p>
        </w:tc>
        <w:tc>
          <w:tcPr>
            <w:tcW w:w="3683" w:type="dxa"/>
          </w:tcPr>
          <w:p>
            <w:pPr>
              <w:pStyle w:val="Tableau"/>
            </w:pPr>
            <w:r>
              <w:rPr>
                <w:rStyle w:val="CodeCar"/>
              </w:rPr>
              <w:t xml:space="preserve">Api__DureeJetonAccesMinutes</w:t>
            </w:r>
          </w:p>
        </w:tc>
      </w:tr>
      <w:tr>
        <w:trPr>
          <w:cantSplit/>
        </w:trPr>
        <w:tc>
          <w:tcPr>
            <w:tcW w:w="4604" w:type="dxa"/>
          </w:tcPr>
          <w:p>
            <w:pPr>
              <w:pStyle w:val="Tableau"/>
            </w:pPr>
            <w:r>
              <w:t xml:space="preserve">Durée du jeton de renouvellement, glissante</w:t>
            </w:r>
          </w:p>
        </w:tc>
        <w:tc>
          <w:tcPr>
            <w:tcW w:w="1349" w:type="dxa"/>
          </w:tcPr>
          <w:p>
            <w:pPr>
              <w:pStyle w:val="Tableau"/>
            </w:pPr>
            <w:r>
              <w:t xml:space="preserve">14 jours</w:t>
            </w:r>
          </w:p>
        </w:tc>
        <w:tc>
          <w:tcPr>
            <w:tcW w:w="3683" w:type="dxa"/>
          </w:tcPr>
          <w:p>
            <w:pPr>
              <w:pStyle w:val="Tableau"/>
            </w:pPr>
            <w:r>
              <w:rPr>
                <w:rStyle w:val="CodeCar"/>
              </w:rPr>
              <w:t xml:space="preserve">Api__DureeRenouvellementJours</w:t>
            </w:r>
          </w:p>
        </w:tc>
      </w:tr>
      <w:tr>
        <w:trPr>
          <w:cantSplit/>
        </w:trPr>
        <w:tc>
          <w:tcPr>
            <w:tcW w:w="4604" w:type="dxa"/>
          </w:tcPr>
          <w:p>
            <w:pPr>
              <w:pStyle w:val="Tableau"/>
            </w:pPr>
            <w:r>
              <w:t xml:space="preserve">Durée maximale avant de redemander le mot de passe</w:t>
            </w:r>
          </w:p>
        </w:tc>
        <w:tc>
          <w:tcPr>
            <w:tcW w:w="1349" w:type="dxa"/>
          </w:tcPr>
          <w:p>
            <w:pPr>
              <w:pStyle w:val="Tableau"/>
            </w:pPr>
            <w:r>
              <w:t xml:space="preserve">90 jours</w:t>
            </w:r>
          </w:p>
        </w:tc>
        <w:tc>
          <w:tcPr>
            <w:tcW w:w="3683" w:type="dxa"/>
          </w:tcPr>
          <w:p>
            <w:pPr>
              <w:pStyle w:val="Tableau"/>
            </w:pPr>
            <w:r>
              <w:rPr>
                <w:rStyle w:val="CodeCar"/>
              </w:rPr>
              <w:t xml:space="preserve">Api__DureeMaximaleJours</w:t>
            </w:r>
          </w:p>
        </w:tc>
      </w:tr>
      <w:tr>
        <w:trPr>
          <w:cantSplit/>
        </w:trPr>
        <w:tc>
          <w:tcPr>
            <w:tcW w:w="4604" w:type="dxa"/>
          </w:tcPr>
          <w:p>
            <w:pPr>
              <w:pStyle w:val="Tableau"/>
            </w:pPr>
            <w:r>
              <w:t xml:space="preserve">Rejeu toléré d'un jeton de renouvellement déjà utilisé</w:t>
            </w:r>
          </w:p>
        </w:tc>
        <w:tc>
          <w:tcPr>
            <w:tcW w:w="1349" w:type="dxa"/>
          </w:tcPr>
          <w:p>
            <w:pPr>
              <w:pStyle w:val="Tableau"/>
            </w:pPr>
            <w:r>
              <w:t xml:space="preserve">2 minutes</w:t>
            </w:r>
          </w:p>
        </w:tc>
        <w:tc>
          <w:tcPr>
            <w:tcW w:w="3683" w:type="dxa"/>
          </w:tcPr>
          <w:p>
            <w:pPr>
              <w:pStyle w:val="Tableau"/>
            </w:pPr>
            <w:r>
              <w:rPr>
                <w:rStyle w:val="CodeCar"/>
              </w:rPr>
              <w:t xml:space="preserve">Api__DelaiRejeuSecondes</w:t>
            </w:r>
          </w:p>
        </w:tc>
      </w:tr>
      <w:tr>
        <w:trPr>
          <w:cantSplit/>
        </w:trPr>
        <w:tc>
          <w:tcPr>
            <w:tcW w:w="4604" w:type="dxa"/>
          </w:tcPr>
          <w:p>
            <w:pPr>
              <w:pStyle w:val="Tableau"/>
            </w:pPr>
            <w:r>
              <w:t xml:space="preserve">Appels par minute et par adresse IP</w:t>
            </w:r>
          </w:p>
        </w:tc>
        <w:tc>
          <w:tcPr>
            <w:tcW w:w="1349" w:type="dxa"/>
          </w:tcPr>
          <w:p>
            <w:pPr>
              <w:pStyle w:val="Tableau"/>
            </w:pPr>
            <w:r>
              <w:t xml:space="preserve">300</w:t>
            </w:r>
          </w:p>
        </w:tc>
        <w:tc>
          <w:tcPr>
            <w:tcW w:w="3683" w:type="dxa"/>
          </w:tcPr>
          <w:p>
            <w:pPr>
              <w:pStyle w:val="Tableau"/>
            </w:pPr>
            <w:r>
              <w:rPr>
                <w:rStyle w:val="CodeCar"/>
              </w:rPr>
              <w:t xml:space="preserve">Api__AppelsParMinute</w:t>
            </w:r>
          </w:p>
        </w:tc>
      </w:tr>
      <w:tr>
        <w:trPr>
          <w:cantSplit/>
        </w:trPr>
        <w:tc>
          <w:tcPr>
            <w:tcW w:w="4604" w:type="dxa"/>
          </w:tcPr>
          <w:p>
            <w:pPr>
              <w:pStyle w:val="Tableau"/>
            </w:pPr>
            <w:r>
              <w:t xml:space="preserve">Connexions et renouvellements par minute et par adresse IP</w:t>
            </w:r>
          </w:p>
        </w:tc>
        <w:tc>
          <w:tcPr>
            <w:tcW w:w="1349" w:type="dxa"/>
          </w:tcPr>
          <w:p>
            <w:pPr>
              <w:pStyle w:val="Tableau"/>
            </w:pPr>
            <w:r>
              <w:t xml:space="preserve">10</w:t>
            </w:r>
          </w:p>
        </w:tc>
        <w:tc>
          <w:tcPr>
            <w:tcW w:w="3683" w:type="dxa"/>
          </w:tcPr>
          <w:p>
            <w:pPr>
              <w:pStyle w:val="Tableau"/>
            </w:pPr>
            <w:r>
              <w:rPr>
                <w:rStyle w:val="CodeCar"/>
              </w:rPr>
              <w:t xml:space="preserve">Securite__ConnexionsParMinute</w:t>
            </w:r>
          </w:p>
        </w:tc>
      </w:tr>
    </w:tbl>
    <w:p>
      <w:pPr>
        <w:spacing w:before="0" w:after="0"/>
      </w:pPr>
    </w:p>
    <w:p>
      <w:pPr/>
      <w:r>
        <w:t xml:space="preserve">Sécurité des jetons :</w:t>
      </w:r>
    </w:p>
    <w:p>
      <w:pPr>
        <w:pStyle w:val="ListParagraph"/>
        <w:numPr>
          <w:ilvl w:val="0"/>
          <w:numId w:val="1"/>
        </w:numPr>
      </w:pPr>
      <w:r>
        <w:t xml:space="preserve">la zone </w:t>
      </w:r>
      <w:r>
        <w:rPr>
          <w:rStyle w:val="CodeCar"/>
        </w:rPr>
        <w:t xml:space="preserve">/api</w:t>
      </w:r>
      <w:r>
        <w:t xml:space="preserve"> n'accepte que les jetons, jamais le cookie du site ;</w:t>
      </w:r>
    </w:p>
    <w:p>
      <w:pPr>
        <w:pStyle w:val="ListParagraph"/>
        <w:numPr>
          <w:ilvl w:val="0"/>
          <w:numId w:val="1"/>
        </w:numPr>
      </w:pPr>
      <w:r>
        <w:t xml:space="preserve">le jeton de renouvellement est à </w:t>
      </w:r>
      <w:r>
        <w:rPr>
          <w:b/>
        </w:rPr>
        <w:t xml:space="preserve">usage unique</w:t>
      </w:r>
      <w:r>
        <w:t xml:space="preserve"> et seule son empreinte est enregistrée en base ;</w:t>
      </w:r>
    </w:p>
    <w:p>
      <w:pPr>
        <w:pStyle w:val="ListParagraph"/>
        <w:numPr>
          <w:ilvl w:val="0"/>
          <w:numId w:val="1"/>
        </w:numPr>
      </w:pPr>
      <w:r>
        <w:t xml:space="preserve">un jeton de renouvellement présenté une seconde fois au-delà du délai de rejeu est considéré comme volé : tous les</w:t>
      </w:r>
      <w:r>
        <w:t xml:space="preserve"> </w:t>
      </w:r>
      <w:r>
        <w:t xml:space="preserve">jetons de l'appareil sont révoqués ;</w:t>
      </w:r>
    </w:p>
    <w:p>
      <w:pPr>
        <w:pStyle w:val="ListParagraph"/>
        <w:numPr>
          <w:ilvl w:val="0"/>
          <w:numId w:val="1"/>
        </w:numPr>
      </w:pPr>
      <w:r>
        <w:t xml:space="preserve">le compte est revérifié à chaque appel : désactivation, changement de rôle ou de mot de passe coupent l'accès</w:t>
      </w:r>
      <w:r>
        <w:t xml:space="preserve"> </w:t>
      </w:r>
      <w:r>
        <w:t xml:space="preserve">aussitôt ;</w:t>
      </w:r>
    </w:p>
    <w:p>
      <w:pPr>
        <w:pStyle w:val="ListParagraph"/>
        <w:numPr>
          <w:ilvl w:val="0"/>
          <w:numId w:val="1"/>
        </w:numPr>
      </w:pPr>
      <w:r>
        <w:t xml:space="preserve">les connexions par l'API sont inscrites au journal d'audit (canal « api ») et comptent dans les statistiques.</w:t>
      </w:r>
    </w:p>
    <w:p>
      <w:pPr/>
      <w:r>
        <w:t xml:space="preserve">Les jetons expirés ou révoqués depuis plus de 30 jours sont supprimés par la tâche quotidienne.</w:t>
      </w:r>
    </w:p>
    <w:tbl>
      <w:tblPr>
        <w:tblW w:w="5000" w:type="pct"/>
        <w:tblCellMar>
          <w:top w:w="100" w:type="dxa"/>
          <w:left w:w="200" w:type="dxa"/>
          <w:bottom w:w="60" w:type="dxa"/>
          <w:right w:w="200" w:type="dxa"/>
        </w:tblCellMar>
      </w:tblPr>
      <w:tr>
        <w:trPr>
          <w:cantSplit/>
        </w:trPr>
        <w:tc>
          <w:tcPr>
            <w:tcW w:w="5000" w:type="pct"/>
            <w:tcBorders>
              <w:left w:val="single" w:color="0D5BD7" w:sz="24"/>
            </w:tcBorders>
            <w:shd w:val="clear" w:color="auto" w:fill="EEF4FF"/>
          </w:tcPr>
          <w:p>
            <w:pPr>
              <w:pStyle w:val="Encadre"/>
            </w:pPr>
            <w:r>
              <w:rPr>
                <w:b/>
                <w:color w:val="0D5BD7"/>
              </w:rPr>
              <w:t xml:space="preserve">Remarque</w:t>
            </w:r>
          </w:p>
          <w:p>
            <w:pPr>
              <w:pStyle w:val="Encadre"/>
            </w:pPr>
            <w:r>
              <w:t xml:space="preserve">Il n'existe pas d'écran listant les appareils connectés. Pour couper l'accès d'un téléphone perdu, l'administrateur</w:t>
            </w:r>
            <w:r>
              <w:t xml:space="preserve"> </w:t>
            </w:r>
            <w:r>
              <w:t xml:space="preserve">désactive le compte (ou change son mot de passe) : tous ses jetons sont refusés à l'appel suivant.</w:t>
            </w:r>
          </w:p>
        </w:tc>
      </w:tr>
    </w:tbl>
    <w:p>
      <w:pPr>
        <w:spacing w:before="0" w:after="0"/>
      </w:pPr>
    </w:p>
    <w:p>
      <w:pPr>
        <w:pStyle w:val="Heading2"/>
      </w:pPr>
      <w:bookmarkStart w:name="_s75" w:id="80"/>
      <w:r>
        <w:rPr>
          <w:color w:val="D9480F"/>
        </w:rPr>
        <w:t xml:space="preserve">10.2  </w:t>
      </w:r>
      <w:r>
        <w:t xml:space="preserve">Le module hors ligne</w:t>
      </w:r>
      <w:bookmarkEnd w:id="80"/>
    </w:p>
    <w:p>
      <w:pPr/>
      <w:r>
        <w:t xml:space="preserve">Le module (</w:t>
      </w:r>
      <w:r>
        <w:rPr>
          <w:rStyle w:val="CodeCar"/>
        </w:rPr>
        <w:t xml:space="preserve">/terrain/</w:t>
      </w:r>
      <w:r>
        <w:t xml:space="preserve">) est une application WebAssembly installable (PWA), servie par la plateforme elle-même. Il est</w:t>
      </w:r>
      <w:r>
        <w:t xml:space="preserve"> </w:t>
      </w:r>
      <w:r>
        <w:t xml:space="preserve">réservé aux comptes qui saisissent : l'équipe projet, et les organisations quand l'administrateur a ouvert la saisie</w:t>
      </w:r>
      <w:r>
        <w:t xml:space="preserve"> </w:t>
      </w:r>
      <w:r>
        <w:t xml:space="preserve">aux organisations.</w:t>
      </w:r>
    </w:p>
    <w:p>
      <w:pPr>
        <w:pStyle w:val="Heading3"/>
      </w:pPr>
      <w:bookmarkStart w:name="_s99" w:id="81"/>
      <w:r>
        <w:rPr>
          <w:color w:val="556072"/>
        </w:rPr>
        <w:t xml:space="preserve">10.2.1  </w:t>
      </w:r>
      <w:r>
        <w:t xml:space="preserve">Ce qui est stocké sur le téléphone</w:t>
      </w:r>
      <w:bookmarkEnd w:id="81"/>
    </w:p>
    <w:p>
      <w:pPr>
        <w:pStyle w:val="ListParagraph"/>
        <w:numPr>
          <w:ilvl w:val="0"/>
          <w:numId w:val="1"/>
        </w:numPr>
      </w:pPr>
      <w:r>
        <w:t xml:space="preserve">l'application elle-même, en cache (service worker) : seules les adresses de </w:t>
      </w:r>
      <w:r>
        <w:rPr>
          <w:rStyle w:val="CodeCar"/>
        </w:rPr>
        <w:t xml:space="preserve">/terrain/</w:t>
      </w:r>
      <w:r>
        <w:t xml:space="preserve"> passent par ce cache, l'API</w:t>
      </w:r>
      <w:r>
        <w:t xml:space="preserve"> </w:t>
      </w:r>
      <w:r>
        <w:t xml:space="preserve">va toujours au réseau ;</w:t>
      </w:r>
    </w:p>
    <w:p>
      <w:pPr>
        <w:pStyle w:val="ListParagraph"/>
        <w:numPr>
          <w:ilvl w:val="0"/>
          <w:numId w:val="1"/>
        </w:numPr>
      </w:pPr>
      <w:r>
        <w:t xml:space="preserve">dans le stockage du navigateur (IndexedDB) : le profil, les listes de saisie, les activités à rapporter (au plus 500 :</w:t>
      </w:r>
      <w:r>
        <w:t xml:space="preserve"> </w:t>
      </w:r>
      <w:r>
        <w:t xml:space="preserve">sans rapport, non annulées, commençant dans les 30 jours ou terminées depuis 90 jours au plus), les brouillons de</w:t>
      </w:r>
      <w:r>
        <w:t xml:space="preserve"> </w:t>
      </w:r>
      <w:r>
        <w:t xml:space="preserve">rapport et le jeton de renouvellement. Le jeton d'accès reste en mémoire seulement.</w:t>
      </w:r>
    </w:p>
    <w:p>
      <w:pPr/>
      <w:r>
        <w:t xml:space="preserve">Les rapports validés sont retirés du téléphone 30 jours après leur validation. </w:t>
      </w:r>
      <w:r>
        <w:rPr>
          <w:b/>
        </w:rPr>
        <w:t xml:space="preserve">Se déconnecter de ce téléphone</w:t>
      </w:r>
      <w:r>
        <w:t xml:space="preserve"> </w:t>
      </w:r>
      <w:r>
        <w:t xml:space="preserve">révoque les jetons sur la plateforme puis les efface de l'appareil.</w:t>
      </w:r>
    </w:p>
    <w:p>
      <w:pPr>
        <w:pStyle w:val="Heading3"/>
      </w:pPr>
      <w:bookmarkStart w:name="_s100" w:id="82"/>
      <w:r>
        <w:rPr>
          <w:color w:val="556072"/>
        </w:rPr>
        <w:t xml:space="preserve">10.2.2  </w:t>
      </w:r>
      <w:r>
        <w:t xml:space="preserve">Synchronisation</w:t>
      </w:r>
      <w:bookmarkEnd w:id="82"/>
    </w:p>
    <w:p>
      <w:pPr/>
      <w:r>
        <w:t xml:space="preserve">L'envoi n'a lieu que </w:t>
      </w:r>
      <w:r>
        <w:rPr>
          <w:b/>
        </w:rPr>
        <w:t xml:space="preserve">module ouvert</w:t>
      </w:r>
      <w:r>
        <w:t xml:space="preserve"> : au démarrage, au retour du réseau, toutes les 5 minutes tant que des rapports</w:t>
      </w:r>
      <w:r>
        <w:t xml:space="preserve"> </w:t>
      </w:r>
      <w:r>
        <w:t xml:space="preserve">attendent, et sur </w:t>
      </w:r>
      <w:r>
        <w:rPr>
          <w:b/>
        </w:rPr>
        <w:t xml:space="preserve">Synchroniser maintenant</w:t>
      </w:r>
      <w:r>
        <w:t xml:space="preserve">. Un rapport envoyé deux fois (réponse perdue sur un réseau instable)</w:t>
      </w:r>
      <w:r>
        <w:t xml:space="preserve"> </w:t>
      </w:r>
      <w:r>
        <w:t xml:space="preserve">n'est jamais dupliqué : la plateforme reconnaît son identifiant et renvoie le rapport existant.</w:t>
      </w:r>
    </w:p>
    <w:p>
      <w:pPr>
        <w:pStyle w:val="Heading3"/>
      </w:pPr>
      <w:bookmarkStart w:name="_s96" w:id="83"/>
      <w:r>
        <w:rPr>
          <w:color w:val="556072"/>
        </w:rPr>
        <w:t xml:space="preserve">10.2.3  </w:t>
      </w:r>
      <w:r>
        <w:t xml:space="preserve">Mise à jour du module</w:t>
      </w:r>
      <w:bookmarkEnd w:id="83"/>
    </w:p>
    <w:p>
      <w:pPr/>
      <w:r>
        <w:t xml:space="preserve">Un déploiement de la plateforme publie aussi la nouvelle version du module. Sur chaque téléphone :</w:t>
      </w:r>
    </w:p>
    <w:p>
      <w:pPr>
        <w:pStyle w:val="ListParagraph"/>
        <w:numPr>
          <w:ilvl w:val="0"/>
          <w:numId w:val="26"/>
        </w:numPr>
      </w:pPr>
      <w:r>
        <w:t xml:space="preserve">à la connexion suivante avec du réseau, le service worker télécharge la nouvelle version ;</w:t>
      </w:r>
    </w:p>
    <w:p>
      <w:pPr>
        <w:pStyle w:val="ListParagraph"/>
        <w:numPr>
          <w:ilvl w:val="0"/>
          <w:numId w:val="26"/>
        </w:numPr>
      </w:pPr>
      <w:r>
        <w:t xml:space="preserve">le module affiche « Une nouvelle version du module est prête. » et le bouton </w:t>
      </w:r>
      <w:r>
        <w:rPr>
          <w:b/>
        </w:rPr>
        <w:t xml:space="preserve">Mettre à jour</w:t>
      </w:r>
      <w:r>
        <w:t xml:space="preserve"> (les saisies en</w:t>
      </w:r>
      <w:r>
        <w:t xml:space="preserve"> </w:t>
      </w:r>
      <w:r>
        <w:t xml:space="preserve">cours sont enregistrées d'abord) ;</w:t>
      </w:r>
    </w:p>
    <w:p>
      <w:pPr>
        <w:pStyle w:val="ListParagraph"/>
        <w:numPr>
          <w:ilvl w:val="0"/>
          <w:numId w:val="26"/>
        </w:numPr>
      </w:pPr>
      <w:r>
        <w:t xml:space="preserve">sans action de l'utilisateur, la nouvelle version s'active quand tous les onglets du module sont fermés.</w:t>
      </w:r>
    </w:p>
    <w:p>
      <w:pPr/>
      <w:r>
        <w:t xml:space="preserve">Les fichiers du module sont servis avec </w:t>
      </w:r>
      <w:r>
        <w:rPr>
          <w:rStyle w:val="CodeCar"/>
        </w:rPr>
        <w:t xml:space="preserve">Cache-Control: no-cache</w:t>
      </w:r>
      <w:r>
        <w:t xml:space="preserve"> : le navigateur revérifie toujours la version</w:t>
      </w:r>
      <w:r>
        <w:t xml:space="preserve"> </w:t>
      </w:r>
      <w:r>
        <w:t xml:space="preserve">disponible.</w:t>
      </w:r>
    </w:p>
    <w:tbl>
      <w:tblPr>
        <w:tblW w:w="5000" w:type="pct"/>
        <w:tblCellMar>
          <w:top w:w="100" w:type="dxa"/>
          <w:left w:w="200" w:type="dxa"/>
          <w:bottom w:w="60" w:type="dxa"/>
          <w:right w:w="200" w:type="dxa"/>
        </w:tblCellMar>
      </w:tblPr>
      <w:tr>
        <w:trPr>
          <w:cantSplit/>
        </w:trPr>
        <w:tc>
          <w:tcPr>
            <w:tcW w:w="5000" w:type="pct"/>
            <w:tcBorders>
              <w:left w:val="single" w:color="7A3FD1" w:sz="24"/>
            </w:tcBorders>
            <w:shd w:val="clear" w:color="auto" w:fill="F4EFFC"/>
          </w:tcPr>
          <w:p>
            <w:pPr>
              <w:pStyle w:val="Encadre"/>
            </w:pPr>
            <w:r>
              <w:rPr>
                <w:b/>
                <w:color w:val="7A3FD1"/>
              </w:rPr>
              <w:t xml:space="preserve">Important</w:t>
            </w:r>
          </w:p>
          <w:p>
            <w:pPr>
              <w:pStyle w:val="Encadre"/>
            </w:pPr>
            <w:r>
              <w:t xml:space="preserve">Un déploiement qui change le format des données de l'API doit rester compatible avec l'ancienne version du module</w:t>
            </w:r>
            <w:r>
              <w:t xml:space="preserve"> </w:t>
            </w:r>
            <w:r>
              <w:t xml:space="preserve">tant que des téléphones ne sont pas mis à jour : des rapports peuvent attendre plusieurs jours dans leur file.</w:t>
            </w:r>
          </w:p>
        </w:tc>
      </w:tr>
    </w:tbl>
    <w:p>
      <w:pPr>
        <w:spacing w:before="0" w:after="0"/>
      </w:pPr>
    </w:p>
    <w:p>
      <w:pPr>
        <w:pStyle w:val="Surtitre"/>
      </w:pPr>
      <w:r>
        <w:t xml:space="preserve">CHAPITRE 11</w:t>
      </w:r>
    </w:p>
    <w:p>
      <w:pPr>
        <w:pStyle w:val="Heading1"/>
      </w:pPr>
      <w:bookmarkStart w:name="_s76" w:id="84"/>
      <w:r>
        <w:t xml:space="preserve">Environnement de démonstration</w:t>
      </w:r>
      <w:bookmarkEnd w:id="84"/>
    </w:p>
    <w:p>
      <w:pPr>
        <w:pStyle w:val="Chapeau"/>
      </w:pPr>
      <w:r>
        <w:t xml:space="preserve">Installer une plateforme de démonstration avec des données fictives, la remettre à zéro, et ce qu'il ne faut jamais faire sur une plateforme réelle.</w:t>
      </w:r>
    </w:p>
    <w:p>
      <w:pPr>
        <w:pStyle w:val="Note"/>
      </w:pPr>
      <w:r>
        <w:t xml:space="preserve">Concerne : </w:t>
      </w:r>
      <w:r>
        <w:rPr>
          <w:b/>
        </w:rPr>
        <w:t xml:space="preserve">Équipe technique</w:t>
      </w:r>
    </w:p>
    <w:p>
      <w:pPr/>
      <w:r>
        <w:t xml:space="preserve">Une plateforme de démonstration s'installe exactement comme une plateforme réelle</w:t>
      </w:r>
      <w:r>
        <w:t xml:space="preserve"> </w:t>
      </w:r>
      <w:r>
        <w:t xml:space="preserve">(</w:t>
      </w:r>
      <w:hyperlink w:history="true" w:anchor="_s19">
        <w:r>
          <w:rPr>
            <w:rStyle w:val="Hyperlink"/>
          </w:rPr>
          <w:t xml:space="preserve">Installation</w:t>
        </w:r>
      </w:hyperlink>
      <w:r>
        <w:t xml:space="preserve">), avec trois réglages en plus. Elle sert aux présentations et aux formations.</w:t>
      </w:r>
    </w:p>
    <w:p>
      <w:pPr>
        <w:pStyle w:val="Heading2"/>
      </w:pPr>
      <w:bookmarkStart w:name="_s77" w:id="85"/>
      <w:r>
        <w:rPr>
          <w:color w:val="D9480F"/>
        </w:rPr>
        <w:t xml:space="preserve">11.1  </w:t>
      </w:r>
      <w:r>
        <w:t xml:space="preserve">Données de démonstration</w:t>
      </w:r>
      <w:bookmarkEnd w:id="85"/>
    </w:p>
    <w:p>
      <w:pPr/>
      <w:r>
        <w:t xml:space="preserve">Avec </w:t>
      </w:r>
      <w:r>
        <w:rPr>
          <w:rStyle w:val="CodeCar"/>
        </w:rPr>
        <w:t xml:space="preserve">DEMO_DONNEES=true</w:t>
      </w:r>
      <w:r>
        <w:t xml:space="preserve"> et un </w:t>
      </w:r>
      <w:r>
        <w:rPr>
          <w:rStyle w:val="CodeCar"/>
        </w:rPr>
        <w:t xml:space="preserve">DEMO_MOT_DE_PASSE</w:t>
      </w:r>
      <w:r>
        <w:t xml:space="preserve">, l'application charge au démarrage un jeu de données </w:t>
      </w:r>
      <w:r>
        <w:rPr>
          <w:b/>
        </w:rPr>
        <w:t xml:space="preserve">entièrement</w:t>
      </w:r>
      <w:r>
        <w:t xml:space="preserve"> </w:t>
      </w:r>
      <w:r>
        <w:rPr>
          <w:b/>
        </w:rPr>
        <w:t xml:space="preserve">fictif</w:t>
      </w:r>
      <w:r>
        <w:t xml:space="preserve"> : organisations, écoles, subventions, micro-projets, environ 300 activités sur l'année en cours, environ 200</w:t>
      </w:r>
      <w:r>
        <w:t xml:space="preserve"> </w:t>
      </w:r>
      <w:r>
        <w:t xml:space="preserve">rapports, évaluations, indicateurs, messages, bonnes pratiques et ressources. Les statuts (activités en retard,</w:t>
      </w:r>
      <w:r>
        <w:t xml:space="preserve"> </w:t>
      </w:r>
      <w:r>
        <w:t xml:space="preserve">rapports en attente) sont calculés par rapport au jour du chargement.</w:t>
      </w:r>
    </w:p>
    <w:p>
      <w:pPr/>
      <w:r>
        <w:t xml:space="preserve">Le chargement n'a lieu </w:t>
      </w:r>
      <w:r>
        <w:rPr>
          <w:b/>
        </w:rPr>
        <w:t xml:space="preserve">que si la base ne contient encore aucune organisation</w:t>
      </w:r>
      <w:r>
        <w:t xml:space="preserve">. Le journal de l'application le</w:t>
      </w:r>
      <w:r>
        <w:t xml:space="preserve"> </w:t>
      </w:r>
      <w:r>
        <w:t xml:space="preserve">signale par un avertissement </w:t>
      </w:r>
      <w:r>
        <w:rPr>
          <w:rStyle w:val="CodeCar"/>
        </w:rPr>
        <w:t xml:space="preserve">Données de démonstration FICTIVES chargées</w:t>
      </w:r>
      <w:r>
        <w:t xml:space="preserve">.</w:t>
      </w:r>
    </w:p>
    <w:p>
      <w:pPr/>
      <w:r>
        <w:t xml:space="preserve">Comptes de démonstration (mot de passe </w:t>
      </w:r>
      <w:r>
        <w:rPr>
          <w:rStyle w:val="CodeCar"/>
        </w:rPr>
        <w:t xml:space="preserve">DEMO_MOT_DE_PASSE</w:t>
      </w:r>
      <w:r>
        <w:t xml:space="preserve">, sauf l'administrateur) :</w:t>
      </w:r>
    </w:p>
    <w:tbl>
      <w:tblPr>
        <w:tblW w:w="5000" w:type="pct"/>
        <w:tblBorders>
          <w:top w:val="single" w:color="DFE4EC" w:sz="4"/>
          <w:bottom w:val="single" w:color="DFE4EC" w:sz="4"/>
          <w:left w:val="nil"/>
          <w:right w:val="nil"/>
          <w:insideH w:val="single" w:color="DFE4EC" w:sz="4"/>
          <w:insideV w:val="nil"/>
        </w:tblBorders>
        <w:tblLayout w:type="fixed"/>
        <w:tblCellMar>
          <w:top w:w="50" w:type="dxa"/>
          <w:left w:w="100" w:type="dxa"/>
          <w:bottom w:w="50" w:type="dxa"/>
          <w:right w:w="100" w:type="dxa"/>
        </w:tblCellMar>
      </w:tblPr>
      <w:tblGrid>
        <w:gridCol w:w="3912"/>
        <w:gridCol w:w="5725"/>
      </w:tblGrid>
      <w:tr>
        <w:trPr>
          <w:cantSplit/>
          <w:tblHeader/>
        </w:trPr>
        <w:tc>
          <w:tcPr>
            <w:tcW w:w="3912" w:type="dxa"/>
            <w:shd w:val="clear" w:color="auto" w:fill="F4F6FA"/>
          </w:tcPr>
          <w:p>
            <w:pPr>
              <w:pStyle w:val="Tableau"/>
            </w:pPr>
            <w:r>
              <w:rPr>
                <w:b/>
              </w:rPr>
              <w:t xml:space="preserve">Compte</w:t>
            </w:r>
          </w:p>
        </w:tc>
        <w:tc>
          <w:tcPr>
            <w:tcW w:w="5725" w:type="dxa"/>
            <w:shd w:val="clear" w:color="auto" w:fill="F4F6FA"/>
          </w:tcPr>
          <w:p>
            <w:pPr>
              <w:pStyle w:val="Tableau"/>
            </w:pPr>
            <w:r>
              <w:rPr>
                <w:b/>
              </w:rPr>
              <w:t xml:space="preserve">Rôle</w:t>
            </w:r>
          </w:p>
        </w:tc>
      </w:tr>
      <w:tr>
        <w:trPr>
          <w:cantSplit/>
        </w:trPr>
        <w:tc>
          <w:tcPr>
            <w:tcW w:w="3912" w:type="dxa"/>
          </w:tcPr>
          <w:p>
            <w:pPr>
              <w:pStyle w:val="Tableau"/>
            </w:pPr>
            <w:r>
              <w:rPr>
                <w:rStyle w:val="CodeCar"/>
              </w:rPr>
              <w:t xml:space="preserve">ADMIN_EMAIL</w:t>
            </w:r>
            <w:r>
              <w:t xml:space="preserve"> (par exemple </w:t>
            </w:r>
            <w:r>
              <w:rPr>
                <w:rStyle w:val="CodeCar"/>
              </w:rPr>
              <w:t xml:space="preserve">admin@demo.read</w:t>
            </w:r>
            <w:r>
              <w:t xml:space="preserve">)</w:t>
            </w:r>
          </w:p>
        </w:tc>
        <w:tc>
          <w:tcPr>
            <w:tcW w:w="5725" w:type="dxa"/>
          </w:tcPr>
          <w:p>
            <w:pPr>
              <w:pStyle w:val="Tableau"/>
            </w:pPr>
            <w:r>
              <w:t xml:space="preserve">Administrateur initial, mot de passe </w:t>
            </w:r>
            <w:r>
              <w:rPr>
                <w:rStyle w:val="CodeCar"/>
              </w:rPr>
              <w:t xml:space="preserve">ADMIN_MOT_DE_PASSE</w:t>
            </w:r>
            <w:r>
              <w:t xml:space="preserve"> (créé comme sur une plateforme réelle)</w:t>
            </w:r>
          </w:p>
        </w:tc>
      </w:tr>
      <w:tr>
        <w:trPr>
          <w:cantSplit/>
        </w:trPr>
        <w:tc>
          <w:tcPr>
            <w:tcW w:w="3912" w:type="dxa"/>
          </w:tcPr>
          <w:p>
            <w:pPr>
              <w:pStyle w:val="Tableau"/>
            </w:pPr>
            <w:r>
              <w:rPr>
                <w:rStyle w:val="CodeCar"/>
              </w:rPr>
              <w:t xml:space="preserve">gestion@demo.read</w:t>
            </w:r>
          </w:p>
        </w:tc>
        <w:tc>
          <w:tcPr>
            <w:tcW w:w="5725" w:type="dxa"/>
          </w:tcPr>
          <w:p>
            <w:pPr>
              <w:pStyle w:val="Tableau"/>
            </w:pPr>
            <w:r>
              <w:t xml:space="preserve">Équipe projet (gestion)</w:t>
            </w:r>
          </w:p>
        </w:tc>
      </w:tr>
      <w:tr>
        <w:trPr>
          <w:cantSplit/>
        </w:trPr>
        <w:tc>
          <w:tcPr>
            <w:tcW w:w="3912" w:type="dxa"/>
          </w:tcPr>
          <w:p>
            <w:pPr>
              <w:pStyle w:val="Tableau"/>
            </w:pPr>
            <w:r>
              <w:rPr>
                <w:rStyle w:val="CodeCar"/>
              </w:rPr>
              <w:t xml:space="preserve">odr@demo.read</w:t>
            </w:r>
          </w:p>
        </w:tc>
        <w:tc>
          <w:tcPr>
            <w:tcW w:w="5725" w:type="dxa"/>
          </w:tcPr>
          <w:p>
            <w:pPr>
              <w:pStyle w:val="Tableau"/>
            </w:pPr>
            <w:r>
              <w:t xml:space="preserve">Organisation</w:t>
            </w:r>
          </w:p>
        </w:tc>
      </w:tr>
      <w:tr>
        <w:trPr>
          <w:cantSplit/>
        </w:trPr>
        <w:tc>
          <w:tcPr>
            <w:tcW w:w="3912" w:type="dxa"/>
          </w:tcPr>
          <w:p>
            <w:pPr>
              <w:pStyle w:val="Tableau"/>
            </w:pPr>
            <w:r>
              <w:rPr>
                <w:rStyle w:val="CodeCar"/>
              </w:rPr>
              <w:t xml:space="preserve">comite@demo.read</w:t>
            </w:r>
          </w:p>
        </w:tc>
        <w:tc>
          <w:tcPr>
            <w:tcW w:w="5725" w:type="dxa"/>
          </w:tcPr>
          <w:p>
            <w:pPr>
              <w:pStyle w:val="Tableau"/>
            </w:pPr>
            <w:r>
              <w:t xml:space="preserve">Comité communal</w:t>
            </w:r>
          </w:p>
        </w:tc>
      </w:tr>
      <w:tr>
        <w:trPr>
          <w:cantSplit/>
        </w:trPr>
        <w:tc>
          <w:tcPr>
            <w:tcW w:w="3912" w:type="dxa"/>
          </w:tcPr>
          <w:p>
            <w:pPr>
              <w:pStyle w:val="Tableau"/>
            </w:pPr>
            <w:r>
              <w:rPr>
                <w:rStyle w:val="CodeCar"/>
              </w:rPr>
              <w:t xml:space="preserve">partenaire@demo.read</w:t>
            </w:r>
          </w:p>
        </w:tc>
        <w:tc>
          <w:tcPr>
            <w:tcW w:w="5725" w:type="dxa"/>
          </w:tcPr>
          <w:p>
            <w:pPr>
              <w:pStyle w:val="Tableau"/>
            </w:pPr>
            <w:r>
              <w:t xml:space="preserve">Partenaire institutionnel</w:t>
            </w:r>
          </w:p>
        </w:tc>
      </w:tr>
    </w:tbl>
    <w:p>
      <w:pPr>
        <w:spacing w:before="0" w:after="0"/>
      </w:pPr>
    </w:p>
    <w:p>
      <w:pPr/>
      <w:r>
        <w:t xml:space="preserve">Réglages propres à la démonstration dans </w:t>
      </w:r>
      <w:r>
        <w:rPr>
          <w:rStyle w:val="CodeCar"/>
        </w:rPr>
        <w:t xml:space="preserve">/opt/read/.env</w:t>
      </w:r>
      <w:r>
        <w:t xml:space="preserve"> :</w:t>
      </w:r>
    </w:p>
    <w:tbl>
      <w:tblPr>
        <w:tblW w:w="5000" w:type="pct"/>
        <w:tblBorders>
          <w:top w:val="single" w:color="DFE4EC" w:sz="4"/>
          <w:bottom w:val="single" w:color="DFE4EC" w:sz="4"/>
          <w:left w:val="nil"/>
          <w:right w:val="nil"/>
          <w:insideH w:val="single" w:color="DFE4EC" w:sz="4"/>
          <w:insideV w:val="nil"/>
        </w:tblBorders>
        <w:tblLayout w:type="fixed"/>
        <w:tblCellMar>
          <w:top w:w="50" w:type="dxa"/>
          <w:left w:w="100" w:type="dxa"/>
          <w:bottom w:w="50" w:type="dxa"/>
          <w:right w:w="100" w:type="dxa"/>
        </w:tblCellMar>
      </w:tblPr>
      <w:tblGrid>
        <w:gridCol w:w="4120"/>
        <w:gridCol w:w="5517"/>
      </w:tblGrid>
      <w:tr>
        <w:trPr>
          <w:cantSplit/>
          <w:tblHeader/>
        </w:trPr>
        <w:tc>
          <w:tcPr>
            <w:tcW w:w="4120" w:type="dxa"/>
            <w:shd w:val="clear" w:color="auto" w:fill="F4F6FA"/>
          </w:tcPr>
          <w:p>
            <w:pPr>
              <w:pStyle w:val="Tableau"/>
            </w:pPr>
            <w:r>
              <w:rPr>
                <w:b/>
              </w:rPr>
              <w:t xml:space="preserve">Variable</w:t>
            </w:r>
          </w:p>
        </w:tc>
        <w:tc>
          <w:tcPr>
            <w:tcW w:w="5517" w:type="dxa"/>
            <w:shd w:val="clear" w:color="auto" w:fill="F4F6FA"/>
          </w:tcPr>
          <w:p>
            <w:pPr>
              <w:pStyle w:val="Tableau"/>
            </w:pPr>
            <w:r>
              <w:rPr>
                <w:b/>
              </w:rPr>
              <w:t xml:space="preserve">Valeur</w:t>
            </w:r>
          </w:p>
        </w:tc>
      </w:tr>
      <w:tr>
        <w:trPr>
          <w:cantSplit/>
        </w:trPr>
        <w:tc>
          <w:tcPr>
            <w:tcW w:w="4120" w:type="dxa"/>
          </w:tcPr>
          <w:p>
            <w:pPr>
              <w:pStyle w:val="Tableau"/>
            </w:pPr>
            <w:r>
              <w:rPr>
                <w:rStyle w:val="CodeCar"/>
              </w:rPr>
              <w:t xml:space="preserve">DEMO_DONNEES</w:t>
            </w:r>
          </w:p>
        </w:tc>
        <w:tc>
          <w:tcPr>
            <w:tcW w:w="5517" w:type="dxa"/>
          </w:tcPr>
          <w:p>
            <w:pPr>
              <w:pStyle w:val="Tableau"/>
            </w:pPr>
            <w:r>
              <w:rPr>
                <w:rStyle w:val="CodeCar"/>
              </w:rPr>
              <w:t xml:space="preserve">true</w:t>
            </w:r>
          </w:p>
        </w:tc>
      </w:tr>
      <w:tr>
        <w:trPr>
          <w:cantSplit/>
        </w:trPr>
        <w:tc>
          <w:tcPr>
            <w:tcW w:w="4120" w:type="dxa"/>
          </w:tcPr>
          <w:p>
            <w:pPr>
              <w:pStyle w:val="Tableau"/>
            </w:pPr>
            <w:r>
              <w:rPr>
                <w:rStyle w:val="CodeCar"/>
              </w:rPr>
              <w:t xml:space="preserve">DEMO_MOT_DE_PASSE</w:t>
            </w:r>
          </w:p>
        </w:tc>
        <w:tc>
          <w:tcPr>
            <w:tcW w:w="5517" w:type="dxa"/>
          </w:tcPr>
          <w:p>
            <w:pPr>
              <w:pStyle w:val="Tableau"/>
            </w:pPr>
            <w:r>
              <w:t xml:space="preserve">8 caractères au moins, dont un chiffre</w:t>
            </w:r>
          </w:p>
        </w:tc>
      </w:tr>
      <w:tr>
        <w:trPr>
          <w:cantSplit/>
        </w:trPr>
        <w:tc>
          <w:tcPr>
            <w:tcW w:w="4120" w:type="dxa"/>
          </w:tcPr>
          <w:p>
            <w:pPr>
              <w:pStyle w:val="Tableau"/>
            </w:pPr>
            <w:r>
              <w:rPr>
                <w:rStyle w:val="CodeCar"/>
              </w:rPr>
              <w:t xml:space="preserve">DEMO_AFFICHER</w:t>
            </w:r>
          </w:p>
        </w:tc>
        <w:tc>
          <w:tcPr>
            <w:tcW w:w="5517" w:type="dxa"/>
          </w:tcPr>
          <w:p>
            <w:pPr>
              <w:pStyle w:val="Tableau"/>
            </w:pPr>
            <w:r>
              <w:rPr>
                <w:rStyle w:val="CodeCar"/>
              </w:rPr>
              <w:t xml:space="preserve">true</w:t>
            </w:r>
            <w:r>
              <w:t xml:space="preserve"> : bandeau « Données de démonstration fictives » sur toutes les pages</w:t>
            </w:r>
          </w:p>
        </w:tc>
      </w:tr>
      <w:tr>
        <w:trPr>
          <w:cantSplit/>
        </w:trPr>
        <w:tc>
          <w:tcPr>
            <w:tcW w:w="4120" w:type="dxa"/>
          </w:tcPr>
          <w:p>
            <w:pPr>
              <w:pStyle w:val="Tableau"/>
            </w:pPr>
            <w:r>
              <w:rPr>
                <w:rStyle w:val="CodeCar"/>
              </w:rPr>
              <w:t xml:space="preserve">DEMO_COMPTES_PROTEGES</w:t>
            </w:r>
          </w:p>
        </w:tc>
        <w:tc>
          <w:tcPr>
            <w:tcW w:w="5517" w:type="dxa"/>
          </w:tcPr>
          <w:p>
            <w:pPr>
              <w:pStyle w:val="Tableau"/>
            </w:pPr>
            <w:r>
              <w:rPr>
                <w:rStyle w:val="CodeCar"/>
              </w:rPr>
              <w:t xml:space="preserve">true</w:t>
            </w:r>
            <w:r>
              <w:t xml:space="preserve"> : un visiteur ne peut ni changer le mot de passe d'un compte </w:t>
            </w:r>
            <w:r>
              <w:rPr>
                <w:rStyle w:val="CodeCar"/>
              </w:rPr>
              <w:t xml:space="preserve">…@demo.read</w:t>
            </w:r>
            <w:r>
              <w:t xml:space="preserve"> (profil, mot de passe oublié, administrateur), ni le modifier, ni le désactiver</w:t>
            </w:r>
          </w:p>
        </w:tc>
      </w:tr>
      <w:tr>
        <w:trPr>
          <w:cantSplit/>
        </w:trPr>
        <w:tc>
          <w:tcPr>
            <w:tcW w:w="4120" w:type="dxa"/>
          </w:tcPr>
          <w:p>
            <w:pPr>
              <w:pStyle w:val="Tableau"/>
            </w:pPr>
            <w:r>
              <w:rPr>
                <w:rStyle w:val="CodeCar"/>
              </w:rPr>
              <w:t xml:space="preserve">ADMIN_CHANGEMENT_OBLIGATOIRE</w:t>
            </w:r>
          </w:p>
        </w:tc>
        <w:tc>
          <w:tcPr>
            <w:tcW w:w="5517" w:type="dxa"/>
          </w:tcPr>
          <w:p>
            <w:pPr>
              <w:pStyle w:val="Tableau"/>
            </w:pPr>
            <w:r>
              <w:rPr>
                <w:rStyle w:val="CodeCar"/>
              </w:rPr>
              <w:t xml:space="preserve">false</w:t>
            </w:r>
            <w:r>
              <w:t xml:space="preserve"> : les comptes partagés ne doivent pas exiger un changement de mot de passe</w:t>
            </w:r>
          </w:p>
        </w:tc>
      </w:tr>
    </w:tbl>
    <w:p>
      <w:pPr>
        <w:spacing w:before="0" w:after="0"/>
      </w:pPr>
    </w:p>
    <w:tbl>
      <w:tblPr>
        <w:tblW w:w="5000" w:type="pct"/>
        <w:tblCellMar>
          <w:top w:w="100" w:type="dxa"/>
          <w:left w:w="200" w:type="dxa"/>
          <w:bottom w:w="60" w:type="dxa"/>
          <w:right w:w="200" w:type="dxa"/>
        </w:tblCellMar>
      </w:tblPr>
      <w:tr>
        <w:trPr>
          <w:cantSplit/>
        </w:trPr>
        <w:tc>
          <w:tcPr>
            <w:tcW w:w="5000" w:type="pct"/>
            <w:tcBorders>
              <w:left w:val="single" w:color="12805C" w:sz="24"/>
            </w:tcBorders>
            <w:shd w:val="clear" w:color="auto" w:fill="ECF8F3"/>
          </w:tcPr>
          <w:p>
            <w:pPr>
              <w:pStyle w:val="Encadre"/>
            </w:pPr>
            <w:r>
              <w:rPr>
                <w:b/>
                <w:color w:val="12805C"/>
              </w:rPr>
              <w:t xml:space="preserve">Conseil</w:t>
            </w:r>
          </w:p>
          <w:p>
            <w:pPr>
              <w:pStyle w:val="Encadre"/>
            </w:pPr>
            <w:r>
              <w:t xml:space="preserve">Lisez le mot de passe de démonstration sur le serveur sans l'afficher à l'écran d'une présentation, par exemple dans</w:t>
            </w:r>
            <w:r>
              <w:t xml:space="preserve"> </w:t>
            </w:r>
            <w:r>
              <w:t xml:space="preserve">une variable : </w:t>
            </w:r>
            <w:r>
              <w:rPr>
                <w:rStyle w:val="CodeCar"/>
              </w:rPr>
              <w:t xml:space="preserve">MDP=$(grep '^DEMO_MOT_DE_PASSE=' /opt/read/.env | cut -d= -f2-)</w:t>
            </w:r>
            <w:r>
              <w:t xml:space="preserve">.</w:t>
            </w:r>
          </w:p>
        </w:tc>
      </w:tr>
    </w:tbl>
    <w:p>
      <w:pPr>
        <w:spacing w:before="0" w:after="0"/>
      </w:pPr>
    </w:p>
    <w:p>
      <w:pPr>
        <w:pStyle w:val="Heading2"/>
      </w:pPr>
      <w:bookmarkStart w:name="_s78" w:id="86"/>
      <w:r>
        <w:rPr>
          <w:color w:val="D9480F"/>
        </w:rPr>
        <w:t xml:space="preserve">11.2  </w:t>
      </w:r>
      <w:r>
        <w:t xml:space="preserve">Remettre la démonstration à zéro</w:t>
      </w:r>
      <w:bookmarkEnd w:id="86"/>
    </w:p>
    <w:p>
      <w:pPr/>
      <w:r>
        <w:t xml:space="preserve">Après une présentation ou des essais, remettez les données dans leur état de départ :</w:t>
      </w:r>
    </w:p>
    <w:p>
      <w:pPr>
        <w:pStyle w:val="Code"/>
        <w:spacing w:after="160"/>
      </w:pPr>
      <w:r>
        <w:t xml:space="preserve">/opt/read/code/deploy/reinitialiser-demo.sh --confirmer</w:t>
      </w:r>
    </w:p>
    <w:p>
      <w:pPr/>
      <w:r>
        <w:t xml:space="preserve">Le script arrête l'application, recrée une base vide, efface les fichiers déposés et redémarre : le schéma, les</w:t>
      </w:r>
      <w:r>
        <w:t xml:space="preserve"> </w:t>
      </w:r>
      <w:r>
        <w:t xml:space="preserve">référentiels, les comptes et les données fictives sont rechargés (une minute environ). Il refuse de s'exécuter si</w:t>
      </w:r>
      <w:r>
        <w:t xml:space="preserve"> </w:t>
      </w:r>
      <w:r>
        <w:rPr>
          <w:rStyle w:val="CodeCar"/>
        </w:rPr>
        <w:t xml:space="preserve">DEMO_DONNEES</w:t>
      </w:r>
      <w:r>
        <w:t xml:space="preserve"> ne vaut pas </w:t>
      </w:r>
      <w:r>
        <w:rPr>
          <w:rStyle w:val="CodeCar"/>
        </w:rPr>
        <w:t xml:space="preserve">true</w:t>
      </w:r>
      <w:r>
        <w:t xml:space="preserve">.</w:t>
      </w:r>
    </w:p>
    <w:tbl>
      <w:tblPr>
        <w:tblW w:w="5000" w:type="pct"/>
        <w:tblCellMar>
          <w:top w:w="100" w:type="dxa"/>
          <w:left w:w="200" w:type="dxa"/>
          <w:bottom w:w="60" w:type="dxa"/>
          <w:right w:w="200" w:type="dxa"/>
        </w:tblCellMar>
      </w:tblPr>
      <w:tr>
        <w:trPr>
          <w:cantSplit/>
        </w:trPr>
        <w:tc>
          <w:tcPr>
            <w:tcW w:w="5000" w:type="pct"/>
            <w:tcBorders>
              <w:left w:val="single" w:color="0D5BD7" w:sz="24"/>
            </w:tcBorders>
            <w:shd w:val="clear" w:color="auto" w:fill="EEF4FF"/>
          </w:tcPr>
          <w:p>
            <w:pPr>
              <w:pStyle w:val="Encadre"/>
            </w:pPr>
            <w:r>
              <w:rPr>
                <w:b/>
                <w:color w:val="0D5BD7"/>
              </w:rPr>
              <w:t xml:space="preserve">Remarque</w:t>
            </w:r>
          </w:p>
          <w:p>
            <w:pPr>
              <w:pStyle w:val="Encadre"/>
            </w:pPr>
            <w:r>
              <w:t xml:space="preserve">Après une remise à zéro, les dates sont recalculées par rapport au jour même : les retards et les échéances restent</w:t>
            </w:r>
            <w:r>
              <w:t xml:space="preserve"> </w:t>
            </w:r>
            <w:r>
              <w:t xml:space="preserve">réalistes.</w:t>
            </w:r>
          </w:p>
        </w:tc>
      </w:tr>
    </w:tbl>
    <w:p>
      <w:pPr>
        <w:spacing w:before="0" w:after="0"/>
      </w:pPr>
    </w:p>
    <w:p>
      <w:pPr>
        <w:pStyle w:val="Heading2"/>
      </w:pPr>
      <w:bookmarkStart w:name="_s79" w:id="87"/>
      <w:r>
        <w:rPr>
          <w:color w:val="D9480F"/>
        </w:rPr>
        <w:t xml:space="preserve">11.3  </w:t>
      </w:r>
      <w:r>
        <w:t xml:space="preserve">Ce qu'il ne faut jamais faire sur une plateforme réelle</w:t>
      </w:r>
      <w:bookmarkEnd w:id="87"/>
    </w:p>
    <w:tbl>
      <w:tblPr>
        <w:tblW w:w="5000" w:type="pct"/>
        <w:tblCellMar>
          <w:top w:w="100" w:type="dxa"/>
          <w:left w:w="200" w:type="dxa"/>
          <w:bottom w:w="60" w:type="dxa"/>
          <w:right w:w="200" w:type="dxa"/>
        </w:tblCellMar>
      </w:tblPr>
      <w:tr>
        <w:trPr>
          <w:cantSplit/>
        </w:trPr>
        <w:tc>
          <w:tcPr>
            <w:tcW w:w="5000" w:type="pct"/>
            <w:tcBorders>
              <w:left w:val="single" w:color="C0262D" w:sz="24"/>
            </w:tcBorders>
            <w:shd w:val="clear" w:color="auto" w:fill="FDEEEE"/>
          </w:tcPr>
          <w:p>
            <w:pPr>
              <w:pStyle w:val="Encadre"/>
            </w:pPr>
            <w:r>
              <w:rPr>
                <w:b/>
                <w:color w:val="C0262D"/>
              </w:rPr>
              <w:t xml:space="preserve">Danger</w:t>
            </w:r>
          </w:p>
          <w:p>
            <w:pPr>
              <w:pStyle w:val="Encadre"/>
            </w:pPr>
          </w:p>
          <w:p>
            <w:pPr>
              <w:pStyle w:val="ListParagraph"/>
              <w:numPr>
                <w:ilvl w:val="0"/>
                <w:numId w:val="1"/>
              </w:numPr>
            </w:pPr>
            <w:r>
              <w:t xml:space="preserve">Ne réglez jamais </w:t>
            </w:r>
            <w:r>
              <w:rPr>
                <w:rStyle w:val="CodeCar"/>
              </w:rPr>
              <w:t xml:space="preserve">DEMO_DONNEES=true</w:t>
            </w:r>
            <w:r>
              <w:t xml:space="preserve"> sur une plateforme réelle : sur une base encore vide, des données fictives s'y</w:t>
            </w:r>
            <w:r>
              <w:t xml:space="preserve"> </w:t>
            </w:r>
            <w:r>
              <w:t xml:space="preserve">mêleraient aux vraies.</w:t>
            </w:r>
          </w:p>
          <w:p>
            <w:pPr>
              <w:pStyle w:val="ListParagraph"/>
              <w:numPr>
                <w:ilvl w:val="0"/>
                <w:numId w:val="1"/>
              </w:numPr>
            </w:pPr>
            <w:r>
              <w:t xml:space="preserve">Ne copiez jamais le fichier </w:t>
            </w:r>
            <w:r>
              <w:rPr>
                <w:rStyle w:val="CodeCar"/>
              </w:rPr>
              <w:t xml:space="preserve">.env</w:t>
            </w:r>
            <w:r>
              <w:t xml:space="preserve"> d'une démonstration vers un serveur réel (mots de passe partagés, bandeau,</w:t>
            </w:r>
            <w:r>
              <w:t xml:space="preserve"> </w:t>
            </w:r>
            <w:r>
              <w:t xml:space="preserve">changement de mot de passe non exigé).</w:t>
            </w:r>
          </w:p>
          <w:p>
            <w:pPr>
              <w:pStyle w:val="ListParagraph"/>
              <w:numPr>
                <w:ilvl w:val="0"/>
                <w:numId w:val="1"/>
              </w:numPr>
            </w:pPr>
            <w:r>
              <w:t xml:space="preserve">Ne lancez jamais </w:t>
            </w:r>
            <w:r>
              <w:rPr>
                <w:rStyle w:val="CodeCar"/>
              </w:rPr>
              <w:t xml:space="preserve">reinitialiser-demo.sh</w:t>
            </w:r>
            <w:r>
              <w:t xml:space="preserve"> en dehors d'une démonstration : il efface toutes les données.</w:t>
            </w:r>
          </w:p>
          <w:p>
            <w:pPr>
              <w:pStyle w:val="ListParagraph"/>
              <w:numPr>
                <w:ilvl w:val="0"/>
                <w:numId w:val="1"/>
              </w:numPr>
            </w:pPr>
            <w:r>
              <w:t xml:space="preserve">Ne restaurez jamais une sauvegarde de démonstration sur une plateforme réelle, ni l'inverse.</w:t>
            </w:r>
          </w:p>
        </w:tc>
      </w:tr>
    </w:tbl>
    <w:p>
      <w:pPr>
        <w:spacing w:before="0" w:after="0"/>
      </w:pPr>
    </w:p>
    <w:p>
      <w:pPr/>
      <w:r>
        <w:t xml:space="preserve">Une démonstration et une plateforme réelle doivent tourner sur des serveurs distincts (le projet Compose a toujours le</w:t>
      </w:r>
      <w:r>
        <w:t xml:space="preserve"> </w:t>
      </w:r>
      <w:r>
        <w:t xml:space="preserve">même nom, </w:t>
      </w:r>
      <w:r>
        <w:rPr>
          <w:rStyle w:val="CodeCar"/>
        </w:rPr>
        <w:t xml:space="preserve">read-plateforme</w:t>
      </w:r>
      <w:r>
        <w:t xml:space="preserve">).</w:t>
      </w:r>
    </w:p>
    <w:p>
      <w:pPr>
        <w:pStyle w:val="Surtitre"/>
      </w:pPr>
      <w:r>
        <w:t xml:space="preserve">ANNEXE A</w:t>
      </w:r>
    </w:p>
    <w:p>
      <w:pPr>
        <w:pStyle w:val="Heading1"/>
      </w:pPr>
      <w:bookmarkStart w:name="_s80" w:id="88"/>
      <w:r>
        <w:t xml:space="preserve">Aide-mémoire des commandes</w:t>
      </w:r>
      <w:bookmarkEnd w:id="88"/>
    </w:p>
    <w:p>
      <w:pPr>
        <w:pStyle w:val="Chapeau"/>
      </w:pPr>
      <w:r>
        <w:t xml:space="preserve">Les commandes d'exploitation les plus utiles, regroupées par tâche.</w:t>
      </w:r>
    </w:p>
    <w:p>
      <w:pPr>
        <w:pStyle w:val="Note"/>
      </w:pPr>
      <w:r>
        <w:t xml:space="preserve">Concerne : </w:t>
      </w:r>
      <w:r>
        <w:rPr>
          <w:b/>
        </w:rPr>
        <w:t xml:space="preserve">Équipe technique</w:t>
      </w:r>
    </w:p>
    <w:p>
      <w:pPr/>
      <w:r>
        <w:t xml:space="preserve">Sauf mention contraire, les commandes se lancent sur le serveur, dans </w:t>
      </w:r>
      <w:r>
        <w:rPr>
          <w:rStyle w:val="CodeCar"/>
        </w:rPr>
        <w:t xml:space="preserve">/opt/read/code</w:t>
      </w:r>
      <w:r>
        <w:t xml:space="preserve">.</w:t>
      </w:r>
    </w:p>
    <w:p>
      <w:pPr>
        <w:pStyle w:val="Heading2"/>
      </w:pPr>
      <w:bookmarkStart w:name="_s81" w:id="89"/>
      <w:r>
        <w:rPr>
          <w:color w:val="D9480F"/>
        </w:rPr>
        <w:t xml:space="preserve">A.1  </w:t>
      </w:r>
      <w:r>
        <w:t xml:space="preserve">État et journaux</w:t>
      </w:r>
      <w:bookmarkEnd w:id="89"/>
    </w:p>
    <w:p>
      <w:pPr>
        <w:pStyle w:val="Code"/>
      </w:pPr>
      <w:r>
        <w:t xml:space="preserve">cat /opt/read/code/VERSION                      # commit déployé</w:t>
      </w:r>
    </w:p>
    <w:p>
      <w:pPr>
        <w:pStyle w:val="Code"/>
      </w:pPr>
      <w:r>
        <w:t xml:space="preserve">docker compose ps -a                            # état des conteneurs</w:t>
      </w:r>
    </w:p>
    <w:p>
      <w:pPr>
        <w:pStyle w:val="Code"/>
      </w:pPr>
      <w:r>
        <w:t xml:space="preserve">docker compose logs --tail 100 app              # journal de l'application</w:t>
      </w:r>
    </w:p>
    <w:p>
      <w:pPr>
        <w:pStyle w:val="Code"/>
      </w:pPr>
      <w:r>
        <w:t xml:space="preserve">docker compose logs --tail 100 caddy            # certificats, relais</w:t>
      </w:r>
    </w:p>
    <w:p>
      <w:pPr>
        <w:pStyle w:val="Code"/>
      </w:pPr>
      <w:r>
        <w:t xml:space="preserve">docker compose logs migrations                  # dernières migrations</w:t>
      </w:r>
    </w:p>
    <w:p>
      <w:pPr>
        <w:pStyle w:val="Code"/>
        <w:spacing w:after="160"/>
      </w:pPr>
      <w:r>
        <w:t xml:space="preserve">tail -f /opt/read/deploiement.log               # déploiement en cours</w:t>
      </w:r>
    </w:p>
    <w:p>
      <w:pPr>
        <w:pStyle w:val="Heading2"/>
      </w:pPr>
      <w:bookmarkStart w:name="_s82" w:id="90"/>
      <w:r>
        <w:rPr>
          <w:color w:val="D9480F"/>
        </w:rPr>
        <w:t xml:space="preserve">A.2  </w:t>
      </w:r>
      <w:r>
        <w:t xml:space="preserve">Démarrer, arrêter, appliquer un réglage</w:t>
      </w:r>
      <w:bookmarkEnd w:id="90"/>
    </w:p>
    <w:p>
      <w:pPr>
        <w:pStyle w:val="Code"/>
      </w:pPr>
      <w:r>
        <w:t xml:space="preserve">docker compose up -d                            # démarrer ou appliquer un changement de .env</w:t>
      </w:r>
    </w:p>
    <w:p>
      <w:pPr>
        <w:pStyle w:val="Code"/>
      </w:pPr>
      <w:r>
        <w:t xml:space="preserve">docker compose restart app                      # redémarrer l'application seule</w:t>
      </w:r>
    </w:p>
    <w:p>
      <w:pPr>
        <w:pStyle w:val="Code"/>
        <w:spacing w:after="160"/>
      </w:pPr>
      <w:r>
        <w:t xml:space="preserve">docker compose stop                             # arrêter (les données sont conservées)</w:t>
      </w:r>
    </w:p>
    <w:tbl>
      <w:tblPr>
        <w:tblW w:w="5000" w:type="pct"/>
        <w:tblCellMar>
          <w:top w:w="100" w:type="dxa"/>
          <w:left w:w="200" w:type="dxa"/>
          <w:bottom w:w="60" w:type="dxa"/>
          <w:right w:w="200" w:type="dxa"/>
        </w:tblCellMar>
      </w:tblPr>
      <w:tr>
        <w:trPr>
          <w:cantSplit/>
        </w:trPr>
        <w:tc>
          <w:tcPr>
            <w:tcW w:w="5000" w:type="pct"/>
            <w:tcBorders>
              <w:left w:val="single" w:color="C0262D" w:sz="24"/>
            </w:tcBorders>
            <w:shd w:val="clear" w:color="auto" w:fill="FDEEEE"/>
          </w:tcPr>
          <w:p>
            <w:pPr>
              <w:pStyle w:val="Encadre"/>
            </w:pPr>
            <w:r>
              <w:rPr>
                <w:b/>
                <w:color w:val="C0262D"/>
              </w:rPr>
              <w:t xml:space="preserve">Danger</w:t>
            </w:r>
          </w:p>
          <w:p>
            <w:pPr>
              <w:pStyle w:val="Encadre"/>
            </w:pPr>
            <w:r>
              <w:t xml:space="preserve">Jamais </w:t>
            </w:r>
            <w:r>
              <w:rPr>
                <w:rStyle w:val="CodeCar"/>
              </w:rPr>
              <w:t xml:space="preserve">docker compose down -v</w:t>
            </w:r>
            <w:r>
              <w:t xml:space="preserve"> : l'option </w:t>
            </w:r>
            <w:r>
              <w:rPr>
                <w:rStyle w:val="CodeCar"/>
              </w:rPr>
              <w:t xml:space="preserve">-v</w:t>
            </w:r>
            <w:r>
              <w:t xml:space="preserve"> supprime les volumes, donc toutes les données.</w:t>
            </w:r>
          </w:p>
        </w:tc>
      </w:tr>
    </w:tbl>
    <w:p>
      <w:pPr>
        <w:spacing w:before="0" w:after="0"/>
      </w:pPr>
    </w:p>
    <w:p>
      <w:pPr>
        <w:pStyle w:val="Heading2"/>
      </w:pPr>
      <w:bookmarkStart w:name="_s83" w:id="91"/>
      <w:r>
        <w:rPr>
          <w:color w:val="D9480F"/>
        </w:rPr>
        <w:t xml:space="preserve">A.3  </w:t>
      </w:r>
      <w:r>
        <w:t xml:space="preserve">Déploiement (depuis le poste)</w:t>
      </w:r>
      <w:bookmarkEnd w:id="91"/>
    </w:p>
    <w:p>
      <w:pPr>
        <w:pStyle w:val="Code"/>
      </w:pPr>
      <w:r>
        <w:t xml:space="preserve">deploy/deployer.sh &lt;alias-ssh&gt;</w:t>
      </w:r>
    </w:p>
    <w:p>
      <w:pPr>
        <w:pStyle w:val="Code"/>
        <w:spacing w:after="160"/>
      </w:pPr>
      <w:r>
        <w:t xml:space="preserve">SSH=/c/Windows/System32/OpenSSH/ssh.exe deploy/deployer.sh &lt;alias-ssh&gt;     # sous Windows (Git Bash)</w:t>
      </w:r>
    </w:p>
    <w:p>
      <w:pPr/>
      <w:r>
        <w:t xml:space="preserve">Retour à la version précédente (sur le serveur) :</w:t>
      </w:r>
    </w:p>
    <w:p>
      <w:pPr>
        <w:pStyle w:val="Code"/>
        <w:spacing w:after="160"/>
      </w:pPr>
      <w:r>
        <w:t xml:space="preserve">cd /opt/read &amp;&amp; rm -rf code &amp;&amp; mv code.ancien code &amp;&amp; cd code &amp;&amp; docker compose up -d --build</w:t>
      </w:r>
    </w:p>
    <w:p>
      <w:pPr>
        <w:pStyle w:val="Heading2"/>
      </w:pPr>
      <w:bookmarkStart w:name="_s84" w:id="92"/>
      <w:r>
        <w:rPr>
          <w:color w:val="D9480F"/>
        </w:rPr>
        <w:t xml:space="preserve">A.4  </w:t>
      </w:r>
      <w:r>
        <w:t xml:space="preserve">Sauvegarde et restauration</w:t>
      </w:r>
      <w:bookmarkEnd w:id="92"/>
    </w:p>
    <w:p>
      <w:pPr>
        <w:pStyle w:val="Code"/>
      </w:pPr>
      <w:r>
        <w:t xml:space="preserve">sudo /opt/read/code/deploy/sauvegarde.sh                                     # sauvegarde immédiate</w:t>
      </w:r>
    </w:p>
    <w:p>
      <w:pPr>
        <w:pStyle w:val="Code"/>
      </w:pPr>
      <w:r>
        <w:t xml:space="preserve">systemctl list-timers read-sauvegarde.timer                                 # prochaine sauvegarde</w:t>
      </w:r>
    </w:p>
    <w:p>
      <w:pPr>
        <w:pStyle w:val="Code"/>
      </w:pPr>
      <w:r>
        <w:t xml:space="preserve">sudo journalctl -u read-sauvegarde.service -n 20                            # dernier compte rendu</w:t>
      </w:r>
    </w:p>
    <w:p>
      <w:pPr>
        <w:pStyle w:val="Code"/>
      </w:pPr>
      <w:r>
        <w:t xml:space="preserve">sudo ls /var/backups/read                                                   # sauvegardes locales</w:t>
      </w:r>
    </w:p>
    <w:p>
      <w:pPr>
        <w:pStyle w:val="Code"/>
      </w:pPr>
      <w:r>
        <w:t xml:space="preserve">sudo /opt/read/code/deploy/restaurer.sh /var/backups/read/&lt;horodatage&gt; --essai       # essai, sans effet</w:t>
      </w:r>
    </w:p>
    <w:p>
      <w:pPr>
        <w:pStyle w:val="Code"/>
      </w:pPr>
      <w:r>
        <w:t xml:space="preserve">sudo /opt/read/code/deploy/restaurer.sh /var/backups/read/&lt;horodatage&gt; --confirmer   # REMPLACE les données</w:t>
      </w:r>
    </w:p>
    <w:p>
      <w:pPr>
        <w:pStyle w:val="Code"/>
        <w:spacing w:after="160"/>
      </w:pPr>
      <w:r>
        <w:t xml:space="preserve">docker run --rm --env-file &lt;(grep ^RCLONE_ /opt/read/.env) rclone/rclone:1.75.1 lsd chiffre:   # copies distantes</w:t>
      </w:r>
    </w:p>
    <w:p>
      <w:pPr>
        <w:pStyle w:val="Heading2"/>
      </w:pPr>
      <w:bookmarkStart w:name="_s85" w:id="93"/>
      <w:r>
        <w:rPr>
          <w:color w:val="D9480F"/>
        </w:rPr>
        <w:t xml:space="preserve">A.5  </w:t>
      </w:r>
      <w:r>
        <w:t xml:space="preserve">Base de données</w:t>
      </w:r>
      <w:bookmarkEnd w:id="93"/>
    </w:p>
    <w:p>
      <w:pPr>
        <w:pStyle w:val="Code"/>
      </w:pPr>
      <w:r>
        <w:t xml:space="preserve">docker compose exec db psql -U read -d read                                  # console SQL (compte propriétaire)</w:t>
      </w:r>
    </w:p>
    <w:p>
      <w:pPr>
        <w:pStyle w:val="Code"/>
        <w:spacing w:after="160"/>
      </w:pPr>
      <w:r>
        <w:t xml:space="preserve">docker compose exec db psql -U read -d read -c "SELECT count(*) FROM organisations"</w:t>
      </w:r>
    </w:p>
    <w:tbl>
      <w:tblPr>
        <w:tblW w:w="5000" w:type="pct"/>
        <w:tblCellMar>
          <w:top w:w="100" w:type="dxa"/>
          <w:left w:w="200" w:type="dxa"/>
          <w:bottom w:w="60" w:type="dxa"/>
          <w:right w:w="200" w:type="dxa"/>
        </w:tblCellMar>
      </w:tblPr>
      <w:tr>
        <w:trPr>
          <w:cantSplit/>
        </w:trPr>
        <w:tc>
          <w:tcPr>
            <w:tcW w:w="5000" w:type="pct"/>
            <w:tcBorders>
              <w:left w:val="single" w:color="A15C00" w:sz="24"/>
            </w:tcBorders>
            <w:shd w:val="clear" w:color="auto" w:fill="FFF6E5"/>
          </w:tcPr>
          <w:p>
            <w:pPr>
              <w:pStyle w:val="Encadre"/>
            </w:pPr>
            <w:r>
              <w:rPr>
                <w:b/>
                <w:color w:val="A15C00"/>
              </w:rPr>
              <w:t xml:space="preserve">Attention</w:t>
            </w:r>
          </w:p>
          <w:p>
            <w:pPr>
              <w:pStyle w:val="Encadre"/>
            </w:pPr>
            <w:r>
              <w:t xml:space="preserve">La console SQL donne tous les droits, y compris sur le journal d'audit. Ne modifiez jamais les données par SQL :</w:t>
            </w:r>
            <w:r>
              <w:t xml:space="preserve"> </w:t>
            </w:r>
            <w:r>
              <w:t xml:space="preserve">toute écriture doit passer par la plateforme pour être contrôlée et tracée.</w:t>
            </w:r>
          </w:p>
        </w:tc>
      </w:tr>
    </w:tbl>
    <w:p>
      <w:pPr>
        <w:spacing w:before="0" w:after="0"/>
      </w:pPr>
    </w:p>
    <w:p>
      <w:pPr>
        <w:pStyle w:val="Heading2"/>
      </w:pPr>
      <w:bookmarkStart w:name="_s86" w:id="94"/>
      <w:r>
        <w:rPr>
          <w:color w:val="D9480F"/>
        </w:rPr>
        <w:t xml:space="preserve">A.6  </w:t>
      </w:r>
      <w:r>
        <w:t xml:space="preserve">Fichiers et e-mails locaux</w:t>
      </w:r>
      <w:bookmarkEnd w:id="94"/>
    </w:p>
    <w:p>
      <w:pPr>
        <w:pStyle w:val="Code"/>
      </w:pPr>
      <w:r>
        <w:t xml:space="preserve">docker run --rm -v read-plateforme_app-logs:/logs:ro alpine:3.24 ls -l /logs           # journaux quotidiens</w:t>
      </w:r>
    </w:p>
    <w:p>
      <w:pPr>
        <w:pStyle w:val="Code"/>
        <w:spacing w:after="160"/>
      </w:pPr>
      <w:r>
        <w:t xml:space="preserve">docker run --rm -v read-plateforme_app-donnees:/d:ro alpine:3.24 ls -lt /d/boite-envoi   # e-mails non envoyés (sans SMTP)</w:t>
      </w:r>
    </w:p>
    <w:p>
      <w:pPr>
        <w:pStyle w:val="Heading2"/>
      </w:pPr>
      <w:bookmarkStart w:name="_s87" w:id="95"/>
      <w:r>
        <w:rPr>
          <w:color w:val="D9480F"/>
        </w:rPr>
        <w:t xml:space="preserve">A.7  </w:t>
      </w:r>
      <w:r>
        <w:t xml:space="preserve">Système et place disque</w:t>
      </w:r>
      <w:bookmarkEnd w:id="95"/>
    </w:p>
    <w:p>
      <w:pPr>
        <w:pStyle w:val="Code"/>
      </w:pPr>
      <w:r>
        <w:t xml:space="preserve">df -h / &amp;&amp; sudo du -sh /var/backups/read                                    # place disque</w:t>
      </w:r>
    </w:p>
    <w:p>
      <w:pPr>
        <w:pStyle w:val="Code"/>
      </w:pPr>
      <w:r>
        <w:t xml:space="preserve">docker system df                                                            # place utilisée par Docker</w:t>
      </w:r>
    </w:p>
    <w:p>
      <w:pPr>
        <w:pStyle w:val="Code"/>
      </w:pPr>
      <w:r>
        <w:t xml:space="preserve">docker image prune -f                                                       # images inutilisées</w:t>
      </w:r>
    </w:p>
    <w:p>
      <w:pPr>
        <w:pStyle w:val="Code"/>
      </w:pPr>
      <w:r>
        <w:t xml:space="preserve">timedatectl                                                                 # horloge synchronisée</w:t>
      </w:r>
    </w:p>
    <w:p>
      <w:pPr>
        <w:pStyle w:val="Code"/>
        <w:spacing w:after="160"/>
      </w:pPr>
      <w:r>
        <w:t xml:space="preserve">sudo ufw status                                                             # pare-feu</w:t>
      </w:r>
    </w:p>
    <w:p>
      <w:pPr>
        <w:pStyle w:val="Heading2"/>
      </w:pPr>
      <w:bookmarkStart w:name="_s88" w:id="96"/>
      <w:r>
        <w:rPr>
          <w:color w:val="D9480F"/>
        </w:rPr>
        <w:t xml:space="preserve">A.8  </w:t>
      </w:r>
      <w:r>
        <w:t xml:space="preserve">Démonstration seulement</w:t>
      </w:r>
      <w:bookmarkEnd w:id="96"/>
    </w:p>
    <w:p>
      <w:pPr>
        <w:pStyle w:val="Code"/>
        <w:spacing w:after="160"/>
      </w:pPr>
      <w:r>
        <w:t xml:space="preserve">/opt/read/code/deploy/reinitialiser-demo.sh --confirmer                     # remise à zéro (refusée hors démo)</w:t>
      </w:r>
    </w:p>
    <w:sectPr>
      <w:headerReference xmlns:r="http://schemas.openxmlformats.org/officeDocument/2006/relationships" w:type="default" r:id="Rbb0591893f824fb1"/>
      <w:footerReference xmlns:r="http://schemas.openxmlformats.org/officeDocument/2006/relationships" w:type="default" r:id="R2c9bca584c304e34"/>
      <w:type w:val="nextPage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pStyle w:val="EnTete"/>
      <w:pBdr>
        <w:top w:val="single" w:color="DFE4EC" w:sz="4" w:space="4"/>
      </w:pBdr>
      <w:tabs>
        <w:tab w:val="right" w:pos="9638"/>
      </w:tabs>
    </w:pPr>
    <w:r>
      <w:t xml:space="preserve">Édition 1.0 — octobre 2026</w:t>
    </w:r>
    <w:r>
      <w:tab/>
    </w:r>
    <w:r>
      <w:t xml:space="preserve">Page </w:t>
    </w:r>
    <w:fldSimple w:instr=" PAGE ">
      <w:r>
        <w:t>1</w:t>
      </w:r>
    </w:fldSimple>
    <w:r>
      <w:t xml:space="preserve"> sur </w:t>
    </w:r>
    <w:fldSimple w:instr=" NUMPAGES ">
      <w:r>
        <w:t>1</w:t>
      </w:r>
    </w:fldSimple>
  </w:p>
</w:ftr>
</file>

<file path=word/header1.xml><?xml version="1.0" encoding="utf-8"?>
<w:hdr xmlns:w="http://schemas.openxmlformats.org/wordprocessingml/2006/main">
  <w:p>
    <w:pPr>
      <w:pStyle w:val="EnTete"/>
      <w:tabs>
        <w:tab w:val="right" w:pos="9638"/>
      </w:tabs>
    </w:pPr>
    <w:r>
      <w:t xml:space="preserve">Guide d'exploitation</w:t>
    </w:r>
    <w:r>
      <w:tab/>
    </w:r>
    <w:r>
      <w:t xml:space="preserve">Plateforme READ</w:t>
    </w:r>
  </w:p>
</w:hdr>
</file>

<file path=word/numbering.xml><?xml version="1.0" encoding="utf-8"?>
<w:numbering xmlns:w="http://schemas.openxmlformats.org/wordprocessingml/2006/main">
  <w:abstractNum w:abstractNumId="1">
    <w:multiLevelType w:val="hybridMultilevel"/>
    <w:lvl w:ilvl="0">
      <w:start w:val="1"/>
      <w:numFmt w:val="bullet"/>
      <w:lvlText w:val="•"/>
      <w:lvlJc w:val="left"/>
      <w:pPr>
        <w:ind w:left="360" w:hanging="360"/>
      </w:pPr>
      <w:rPr>
        <w:color w:val="556072"/>
      </w:rPr>
    </w:lvl>
    <w:lvl w:ilvl="1">
      <w:start w:val="1"/>
      <w:numFmt w:val="bullet"/>
      <w:lvlText w:val="◦"/>
      <w:lvlJc w:val="left"/>
      <w:pPr>
        <w:ind w:left="720" w:hanging="360"/>
      </w:pPr>
      <w:rPr>
        <w:color w:val="556072"/>
      </w:rPr>
    </w:lvl>
    <w:lvl w:ilvl="2">
      <w:start w:val="1"/>
      <w:numFmt w:val="bullet"/>
      <w:lvlText w:val="•"/>
      <w:lvlJc w:val="left"/>
      <w:pPr>
        <w:ind w:left="1080" w:hanging="360"/>
      </w:pPr>
      <w:rPr>
        <w:color w:val="556072"/>
      </w:rPr>
    </w:lvl>
  </w:abstractNum>
  <w:abstractNum w:abstractNumId="2">
    <w:multiLevelType w:val="hybridMultilevel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b/>
      </w:rPr>
    </w:lvl>
    <w:lvl w:ilvl="2">
      <w:start w:val="1"/>
      <w:numFmt w:val="decimal"/>
      <w:lvlText w:val="%3."/>
      <w:lvlJc w:val="left"/>
      <w:pPr>
        <w:ind w:left="1080" w:hanging="360"/>
      </w:pPr>
      <w:rPr>
        <w:b/>
      </w:rPr>
    </w:lvl>
  </w:abstractNum>
  <w:num w:numId="1">
    <w:abstractNumId w:val="1"/>
  </w:num>
  <w:num w:numId="1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</w:num>
  <w:num w:numId="1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</w:num>
  <w:num w:numId="1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</w:num>
  <w:num w:numId="1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</w:num>
  <w:num w:numId="1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</w:num>
  <w:num w:numId="1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</w:num>
  <w:num w:numId="1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</w:num>
  <w:num w:numId="1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</w:num>
  <w:num w:numId="2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</w:num>
  <w:num w:numId="2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</w:num>
  <w:num w:numId="2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</w:num>
  <w:num w:numId="2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</w:num>
  <w:num w:numId="2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</w:num>
  <w:num w:numId="2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</w:num>
  <w:num w:numId="2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</w:num>
</w:numbering>
</file>

<file path=word/settings.xml><?xml version="1.0" encoding="utf-8"?>
<w:settings xmlns:w="http://schemas.openxmlformats.org/wordprocessingml/2006/main">
  <w:updateFields w:val="true"/>
  <w:defaultTabStop w:val="708"/>
  <w:characterSpacingControl w:val="doNotCompress"/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C2433"/>
        <w:sz w:val="21"/>
        <w:szCs w:val="21"/>
        <w:lang w:val="fr-FR"/>
      </w:rPr>
    </w:rPrDefault>
    <w:pPrDefault>
      <w:pPr>
        <w:spacing w:after="120" w:line="276" w:lineRule="auto"/>
      </w:pPr>
    </w:pPrDefault>
  </w:docDefaults>
  <w:style w:type="paragraph" w:styleId="Normal" w:default="true">
    <w:name w:val="Normal"/>
    <w:qFormat/>
  </w:style>
  <w:style w:type="paragraph" w:styleId="Surtitre">
    <w:name w:val="Surtitre"/>
    <w:basedOn w:val="Normal"/>
    <w:next w:val="Normal"/>
    <w:qFormat/>
    <w:pPr>
      <w:keepNext/>
      <w:pageBreakBefore/>
      <w:spacing w:before="600" w:after="60"/>
    </w:pPr>
    <w:rPr>
      <w:b/>
      <w:color w:val="D9480F"/>
      <w:spacing w:val="20"/>
      <w:sz w:val="20"/>
    </w:rPr>
  </w:style>
  <w:style w:type="paragraph" w:styleId="Heading1">
    <w:name w:val="heading 1"/>
    <w:basedOn w:val="Normal"/>
    <w:next w:val="Normal"/>
    <w:qFormat/>
    <w:pPr>
      <w:keepNext/>
      <w:spacing w:before="0" w:after="200"/>
      <w:outlineLvl w:val="0"/>
    </w:pPr>
    <w:rPr>
      <w:b/>
      <w:color w:val="0B3D91"/>
      <w:sz w:val="52"/>
    </w:rPr>
  </w:style>
  <w:style w:type="paragraph" w:styleId="Heading2">
    <w:name w:val="heading 2"/>
    <w:basedOn w:val="Normal"/>
    <w:next w:val="Normal"/>
    <w:qFormat/>
    <w:pPr>
      <w:keepNext/>
      <w:keepLines/>
      <w:spacing w:before="360" w:after="100"/>
      <w:outlineLvl w:val="1"/>
    </w:pPr>
    <w:rPr>
      <w:b/>
      <w:color w:val="0B3D91"/>
      <w:sz w:val="30"/>
    </w:rPr>
  </w:style>
  <w:style w:type="paragraph" w:styleId="Heading3">
    <w:name w:val="heading 3"/>
    <w:basedOn w:val="Normal"/>
    <w:next w:val="Normal"/>
    <w:qFormat/>
    <w:pPr>
      <w:keepNext/>
      <w:keepLines/>
      <w:spacing w:before="240" w:after="80"/>
      <w:outlineLvl w:val="2"/>
    </w:pPr>
    <w:rPr>
      <w:b/>
      <w:sz w:val="24"/>
    </w:rPr>
  </w:style>
  <w:style w:type="paragraph" w:styleId="Chapeau">
    <w:name w:val="Chapeau"/>
    <w:basedOn w:val="Normal"/>
    <w:next w:val="Normal"/>
    <w:qFormat/>
    <w:rPr>
      <w:color w:val="556072"/>
      <w:sz w:val="25"/>
    </w:rPr>
  </w:style>
  <w:style w:type="paragraph" w:styleId="Note">
    <w:name w:val="Note"/>
    <w:basedOn w:val="Normal"/>
    <w:next w:val="Normal"/>
    <w:qFormat/>
    <w:rPr>
      <w:color w:val="556072"/>
      <w:sz w:val="18"/>
    </w:rPr>
  </w:style>
  <w:style w:type="paragraph" w:styleId="EnTete">
    <w:name w:val="En-tête du manuel"/>
    <w:basedOn w:val="Normal"/>
    <w:next w:val="Normal"/>
    <w:qFormat/>
    <w:pPr>
      <w:spacing w:after="0"/>
    </w:pPr>
    <w:rPr>
      <w:color w:val="556072"/>
      <w:sz w:val="16"/>
    </w:rPr>
  </w:style>
  <w:style w:type="paragraph" w:styleId="Figure">
    <w:name w:val="Figure"/>
    <w:basedOn w:val="Normal"/>
    <w:next w:val="Normal"/>
    <w:qFormat/>
    <w:pPr>
      <w:keepNext/>
      <w:spacing w:before="120" w:after="60"/>
      <w:jc w:val="center"/>
    </w:pPr>
  </w:style>
  <w:style w:type="paragraph" w:styleId="Caption">
    <w:name w:val="caption"/>
    <w:basedOn w:val="Normal"/>
    <w:next w:val="Normal"/>
    <w:qFormat/>
    <w:pPr>
      <w:spacing w:after="240"/>
      <w:jc w:val="center"/>
    </w:pPr>
    <w:rPr>
      <w:color w:val="556072"/>
      <w:sz w:val="17"/>
    </w:rPr>
  </w:style>
  <w:style w:type="paragraph" w:styleId="ListParagraph">
    <w:name w:val="List Paragraph"/>
    <w:basedOn w:val="Normal"/>
    <w:next w:val="Normal"/>
    <w:qFormat/>
    <w:pPr>
      <w:spacing w:after="60"/>
      <w:contextualSpacing/>
    </w:pPr>
  </w:style>
  <w:style w:type="paragraph" w:styleId="Repere">
    <w:name w:val="Repère de capture"/>
    <w:basedOn w:val="Normal"/>
    <w:next w:val="Normal"/>
    <w:qFormat/>
    <w:pPr>
      <w:shd w:val="clear" w:color="auto" w:fill="F4F6FA"/>
      <w:tabs>
        <w:tab w:val="left" w:pos="500"/>
      </w:tabs>
      <w:spacing w:after="0" w:line="300" w:lineRule="auto"/>
      <w:ind w:left="500" w:hanging="500"/>
    </w:pPr>
    <w:rPr>
      <w:sz w:val="19"/>
    </w:rPr>
  </w:style>
  <w:style w:type="paragraph" w:styleId="Encadre">
    <w:name w:val="Encadré"/>
    <w:basedOn w:val="Normal"/>
    <w:next w:val="Normal"/>
    <w:qFormat/>
    <w:pPr>
      <w:spacing w:after="60"/>
    </w:pPr>
    <w:rPr>
      <w:sz w:val="20"/>
    </w:rPr>
  </w:style>
  <w:style w:type="paragraph" w:styleId="Code">
    <w:name w:val="Code"/>
    <w:basedOn w:val="Normal"/>
    <w:next w:val="Normal"/>
    <w:qFormat/>
    <w:pPr>
      <w:shd w:val="clear" w:color="auto" w:fill="F4F6FA"/>
      <w:spacing w:after="0" w:line="240" w:lineRule="auto"/>
      <w:ind w:left="120" w:right="120"/>
    </w:pPr>
    <w:rPr>
      <w:rFonts w:ascii="Consolas" w:hAnsi="Consolas" w:cs="Consolas"/>
      <w:sz w:val="16"/>
    </w:rPr>
  </w:style>
  <w:style w:type="paragraph" w:styleId="Tableau">
    <w:name w:val="Texte de tableau"/>
    <w:basedOn w:val="Normal"/>
    <w:next w:val="Normal"/>
    <w:qFormat/>
    <w:pPr>
      <w:spacing w:after="0" w:line="252" w:lineRule="auto"/>
    </w:pPr>
    <w:rPr>
      <w:sz w:val="18"/>
    </w:rPr>
  </w:style>
  <w:style w:type="paragraph" w:styleId="TOCHeading">
    <w:name w:val="TOC Heading"/>
    <w:basedOn w:val="Normal"/>
    <w:next w:val="Normal"/>
    <w:qFormat/>
    <w:pPr>
      <w:spacing w:after="240"/>
    </w:pPr>
    <w:rPr>
      <w:b/>
      <w:color w:val="0B3D91"/>
      <w:sz w:val="44"/>
    </w:rPr>
  </w:style>
  <w:style w:type="paragraph" w:styleId="TOC1">
    <w:name w:val="toc 1"/>
    <w:basedOn w:val="Normal"/>
    <w:next w:val="Normal"/>
    <w:qFormat/>
    <w:pPr>
      <w:tabs>
        <w:tab w:val="right" w:leader="dot" w:pos="9638"/>
      </w:tabs>
      <w:spacing w:before="160" w:after="40"/>
    </w:pPr>
    <w:rPr>
      <w:b/>
    </w:rPr>
  </w:style>
  <w:style w:type="paragraph" w:styleId="TOC2">
    <w:name w:val="toc 2"/>
    <w:basedOn w:val="Normal"/>
    <w:next w:val="Normal"/>
    <w:qFormat/>
    <w:pPr>
      <w:tabs>
        <w:tab w:val="right" w:leader="dot" w:pos="9638"/>
      </w:tabs>
      <w:spacing w:after="20"/>
      <w:ind w:left="440"/>
    </w:pPr>
    <w:rPr>
      <w:sz w:val="19"/>
    </w:rPr>
  </w:style>
  <w:style w:type="character" w:styleId="Hyperlink">
    <w:name w:val="Hyperlink"/>
    <w:rPr>
      <w:color w:val="0D5BD7"/>
      <w:u w:val="single"/>
    </w:rPr>
  </w:style>
  <w:style w:type="character" w:styleId="CodeCar">
    <w:name w:val="Code en ligne"/>
    <w:rPr>
      <w:rFonts w:ascii="Consolas" w:hAnsi="Consolas" w:cs="Consolas"/>
      <w:sz w:val="18"/>
      <w:shd w:val="clear" w:color="auto" w:fill="F4F6FA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91c7c1827def478e" /><Relationship Type="http://schemas.openxmlformats.org/officeDocument/2006/relationships/settings" Target="/word/settings.xml" Id="Rf873d2a257d04930" /><Relationship Type="http://schemas.openxmlformats.org/officeDocument/2006/relationships/header" Target="/word/header1.xml" Id="Rbb0591893f824fb1" /><Relationship Type="http://schemas.openxmlformats.org/officeDocument/2006/relationships/footer" Target="/word/footer1.xml" Id="R2c9bca584c304e34" /><Relationship Type="http://schemas.openxmlformats.org/officeDocument/2006/relationships/image" Target="/media/image.png" Id="Rf1ac275416a444e4" /><Relationship Type="http://schemas.openxmlformats.org/officeDocument/2006/relationships/image" Target="/media/image2.png" Id="R35bbfaff69144d90" /><Relationship Type="http://schemas.openxmlformats.org/officeDocument/2006/relationships/numbering" Target="/word/numbering.xml" Id="Rbd0f3fc564ce453a" /></Relationships>
</file>